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eastAsia" w:ascii="方正小标宋简体" w:eastAsia="方正小标宋简体"/>
          <w:b/>
          <w:bCs/>
          <w:sz w:val="36"/>
          <w:szCs w:val="36"/>
        </w:rPr>
      </w:pPr>
      <w:r>
        <w:rPr>
          <w:rFonts w:hint="eastAsia" w:ascii="方正小标宋简体" w:eastAsia="方正小标宋简体"/>
          <w:b/>
          <w:bCs/>
          <w:sz w:val="36"/>
          <w:szCs w:val="36"/>
        </w:rPr>
        <w:t>关于申报2021年原州区有机肥（堆肥）替代化肥</w:t>
      </w:r>
    </w:p>
    <w:p>
      <w:pPr>
        <w:jc w:val="center"/>
        <w:rPr>
          <w:rFonts w:ascii="方正小标宋简体" w:eastAsia="方正小标宋简体"/>
          <w:b/>
          <w:bCs/>
          <w:sz w:val="36"/>
          <w:szCs w:val="36"/>
        </w:rPr>
      </w:pPr>
      <w:r>
        <w:rPr>
          <w:rFonts w:hint="eastAsia" w:ascii="方正小标宋简体" w:eastAsia="方正小标宋简体"/>
          <w:b/>
          <w:bCs/>
          <w:sz w:val="36"/>
          <w:szCs w:val="36"/>
        </w:rPr>
        <w:t>项目实施经营主体的公告</w:t>
      </w:r>
    </w:p>
    <w:p>
      <w:pP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原州区各新型农业经营主体：</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快我区农业绿色健康的发展理念，加大推动畜禽粪污、农作物秸秆等有机废弃物资源循环利用，推动有机肥还田进地，提升耕地质量提升，减少化肥用量，确保“藏粮于地、藏粮于技”平稳推进。根据自治区农业农村厅《关于提前下达2021年第一批农业财政项目资金计划的通知》（宁农计发〔2020〕46号）和中共原州区委、区人民政府《关于印发原州区冷凉蔬菜产业发展实施方案（2021-2025年）的通知》（原党办〔2020〕127号）文件精神，主要鼓励各新型农业经营主体充分利用身边资源，发酵、腐熟畜禽粪便、农作物秸秆等原料堆制初级有机肥。</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原州区农技中心根据多项文件精神，计划利用2-3月冬闲季节在头营镇、三营镇、彭堡镇、中河乡4乡镇，依托各类新型农业经营主体</w:t>
      </w:r>
      <w:r>
        <w:rPr>
          <w:rFonts w:hint="eastAsia" w:ascii="仿宋_GB2312" w:hAnsi="仿宋_GB2312" w:eastAsia="仿宋_GB2312" w:cs="仿宋_GB2312"/>
          <w:kern w:val="0"/>
          <w:sz w:val="32"/>
          <w:szCs w:val="32"/>
        </w:rPr>
        <w:t>开展有机肥应用示范，推进有机肥（堆肥）替代化肥行动，促进化肥减量增效，示范应用面积1.62万亩</w:t>
      </w:r>
      <w:r>
        <w:rPr>
          <w:rFonts w:hint="eastAsia" w:ascii="仿宋_GB2312" w:hAnsi="仿宋_GB2312" w:eastAsia="仿宋_GB2312" w:cs="仿宋_GB2312"/>
          <w:sz w:val="32"/>
          <w:szCs w:val="32"/>
        </w:rPr>
        <w:t>。现向全区范围内征集有“堆肥条件、堆肥意愿、想堆肥、真堆肥、能堆肥”的新型农业经营主体踊跃参与项目实施，现就具体申报及堆制等相关事宜通知如下：</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一、堆肥原料及辅料要求</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主要原料为实施地点周边畜禽粪便(牛粪、羊粪、猪粪、鸡粪等),辅助原料为作物秸秆、食用菌渣锯末，尾菜等，严禁掺杂黄土，污泥，城市生活垃圾，煤灰煤渣等物质。</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二、堆肥枝术要求</w:t>
      </w:r>
      <w:bookmarkStart w:id="0" w:name="_GoBack"/>
      <w:bookmarkEnd w:id="0"/>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堆肥的新型农业经营主体（包括农业企业、家庭农场、农业专业合作社、种植大户等），要严格按照宁夏回族自治区地方标准《畜禽粪便堆制技术规范》DB64/T871-2013（详见附件1）进行堆制，确保堆肥质量达标。申报堆肥的各主体，要确定专人，全程跟踪并监测记录堆肥过程。申报堆肥主体因堆肥技术薄弱，可聘请区内实力较强的堆肥企业，为其提供技术服务，技术服务所产生的费用及支付方式由堆肥主体与技术服务企业协商确定，签订服务合同，明确双方权责。</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三、堆肥规模要求及合格标准判定</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申报经营主体集中堆制的有机肥数量不少于1000方，堆置腐熟后，由原州区农技中心现场监督取样，密封后报送省内有资质的检测单位出具的各项指标检测报告（相关指标详见附件2），样品检测费用全部由申报经营主体承担。</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四、堆肥入田要求</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申报经营主体堆肥完成，经原州区农技中心验收合格后，就近拉运至头营镇、三营镇、彭堡镇、中河乡4乡镇上报确定的项目实施田块中，每亩1方。</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五、</w:t>
      </w:r>
      <w:r>
        <w:rPr>
          <w:rFonts w:hint="eastAsia" w:ascii="仿宋_GB2312" w:hAnsi="黑体" w:eastAsia="仿宋_GB2312" w:cs="黑体"/>
          <w:b/>
          <w:bCs/>
          <w:spacing w:val="5"/>
          <w:sz w:val="32"/>
          <w:szCs w:val="32"/>
          <w:shd w:val="clear" w:color="auto" w:fill="FFFFFF"/>
        </w:rPr>
        <w:t>补贴数量及标准</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堆肥补贴数量按各经营主体实际拉运入田数量补贴，补贴标准每亩1方95元，堆肥补贴包括堆肥时产生的原(辅)料购置费、用工费、机械费、技术服务费、检测费等；堆肥拉运入田验收合格后，堆肥补贴由原州区农技中心直接兑付给经营主体。</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六、申报条件</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凡申报该畜禽粪便堆制有机肥的新型农业经营主体，必须符合以下条件：</w:t>
      </w:r>
    </w:p>
    <w:p>
      <w:pPr>
        <w:spacing w:line="600" w:lineRule="exact"/>
        <w:ind w:firstLine="640"/>
        <w:rPr>
          <w:rFonts w:hint="eastAsia" w:ascii="仿宋_GB2312" w:hAnsi="仿宋" w:eastAsia="仿宋_GB2312" w:cs="仿宋_GB2312"/>
          <w:kern w:val="0"/>
          <w:sz w:val="32"/>
          <w:szCs w:val="32"/>
        </w:rPr>
      </w:pPr>
      <w:r>
        <w:rPr>
          <w:rFonts w:hint="eastAsia" w:ascii="仿宋_GB2312" w:hAnsi="仿宋_GB2312" w:eastAsia="仿宋_GB2312" w:cs="仿宋_GB2312"/>
          <w:sz w:val="32"/>
          <w:szCs w:val="32"/>
        </w:rPr>
        <w:t>1.申报经营主体必须为原州区内的</w:t>
      </w:r>
      <w:r>
        <w:rPr>
          <w:rFonts w:hint="eastAsia" w:ascii="仿宋_GB2312" w:hAnsi="仿宋" w:eastAsia="仿宋_GB2312" w:cs="仿宋_GB2312"/>
          <w:kern w:val="0"/>
          <w:sz w:val="32"/>
          <w:szCs w:val="32"/>
        </w:rPr>
        <w:t>农业企业、家庭农场、农业专业合作社、种植大户等新型农业经营主体，并</w:t>
      </w:r>
      <w:r>
        <w:rPr>
          <w:rFonts w:hint="eastAsia" w:ascii="仿宋_GB2312" w:hAnsi="仿宋_GB2312" w:eastAsia="仿宋_GB2312" w:cs="仿宋_GB2312"/>
          <w:sz w:val="32"/>
          <w:szCs w:val="32"/>
        </w:rPr>
        <w:t>具有良好的信用记录。</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2.申报主体必须堆制腐熟本区域内的畜禽粪便（牛粪、羊粪、猪粪、鸡粪等），并提供粪便来源说明。</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3.申报主体必须要有与堆制畜禽粪便有机肥相适应的场地，粉碎、翻堆、转运等相关机械设备及其他条件。</w:t>
      </w:r>
    </w:p>
    <w:p>
      <w:pPr>
        <w:pStyle w:val="5"/>
        <w:shd w:val="clear" w:color="auto" w:fill="FFFFFF"/>
        <w:spacing w:before="0" w:beforeAutospacing="0" w:after="0" w:afterAutospacing="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4.申报主体资质较好、配合度高、示范带头作用强、热心当地公益性农技推广事业，具有示范、带动当地有机肥（堆肥）替代化肥作用。</w:t>
      </w:r>
    </w:p>
    <w:p>
      <w:pPr>
        <w:spacing w:line="600" w:lineRule="exact"/>
        <w:ind w:firstLine="643" w:firstLineChars="200"/>
        <w:rPr>
          <w:rFonts w:hint="eastAsia" w:ascii="仿宋_GB2312" w:hAnsi="黑体" w:eastAsia="仿宋_GB2312" w:cs="黑体"/>
          <w:b/>
          <w:sz w:val="32"/>
          <w:szCs w:val="32"/>
        </w:rPr>
      </w:pPr>
      <w:r>
        <w:rPr>
          <w:rFonts w:hint="eastAsia" w:ascii="仿宋_GB2312" w:hAnsi="黑体" w:eastAsia="仿宋_GB2312" w:cs="黑体"/>
          <w:b/>
          <w:sz w:val="32"/>
          <w:szCs w:val="32"/>
        </w:rPr>
        <w:t>七、申报流程</w:t>
      </w:r>
    </w:p>
    <w:p>
      <w:pPr>
        <w:spacing w:line="600" w:lineRule="exact"/>
        <w:ind w:firstLine="640"/>
        <w:rPr>
          <w:rFonts w:hint="eastAsia" w:ascii="仿宋_GB2312" w:hAnsi="仿宋_GB2312" w:eastAsia="仿宋_GB2312" w:cs="仿宋_GB2312"/>
          <w:sz w:val="32"/>
          <w:szCs w:val="32"/>
        </w:rPr>
      </w:pPr>
      <w:r>
        <w:rPr>
          <w:rFonts w:hint="eastAsia" w:ascii="仿宋_GB2312" w:eastAsia="仿宋_GB2312"/>
          <w:spacing w:val="5"/>
          <w:sz w:val="32"/>
          <w:szCs w:val="32"/>
          <w:shd w:val="clear" w:color="auto" w:fill="FFFFFF"/>
        </w:rPr>
        <w:t>1.各申报经营主体按本通知要求，在规定时限内填报项目申报表一式三份（见附件3），并提供营业执照、</w:t>
      </w:r>
      <w:r>
        <w:rPr>
          <w:rFonts w:hint="eastAsia" w:ascii="仿宋_GB2312" w:hAnsi="宋体" w:eastAsia="仿宋_GB2312" w:cs="宋体"/>
          <w:spacing w:val="5"/>
          <w:sz w:val="32"/>
          <w:szCs w:val="32"/>
          <w:shd w:val="clear" w:color="auto" w:fill="FFFFFF"/>
        </w:rPr>
        <w:t>法人身份证、</w:t>
      </w:r>
      <w:r>
        <w:rPr>
          <w:rFonts w:hint="eastAsia" w:ascii="仿宋_GB2312" w:hAnsi="仿宋_GB2312" w:eastAsia="仿宋_GB2312" w:cs="仿宋_GB2312"/>
          <w:sz w:val="32"/>
          <w:szCs w:val="32"/>
        </w:rPr>
        <w:t>与堆制畜禽粪便有机肥相适应的场地，粉碎、翻堆、转运等相关机械设备照片</w:t>
      </w:r>
      <w:r>
        <w:rPr>
          <w:rFonts w:hint="eastAsia" w:ascii="仿宋_GB2312" w:eastAsia="仿宋_GB2312"/>
          <w:spacing w:val="5"/>
          <w:sz w:val="32"/>
          <w:szCs w:val="32"/>
          <w:shd w:val="clear" w:color="auto" w:fill="FFFFFF"/>
        </w:rPr>
        <w:t>佐证材料原件，报原州区农技中心审定。</w:t>
      </w:r>
    </w:p>
    <w:p>
      <w:pPr>
        <w:pStyle w:val="5"/>
        <w:shd w:val="clear" w:color="auto" w:fill="FFFFFF"/>
        <w:spacing w:before="0" w:beforeAutospacing="0" w:after="0" w:afterAutospacing="0" w:line="600" w:lineRule="exact"/>
        <w:ind w:firstLine="660" w:firstLineChars="200"/>
        <w:jc w:val="both"/>
        <w:rPr>
          <w:rFonts w:hint="eastAsia" w:ascii="仿宋_GB2312" w:eastAsia="仿宋_GB2312"/>
          <w:spacing w:val="5"/>
          <w:sz w:val="32"/>
          <w:szCs w:val="32"/>
          <w:shd w:val="clear" w:color="auto" w:fill="FFFFFF"/>
        </w:rPr>
      </w:pPr>
      <w:r>
        <w:rPr>
          <w:rFonts w:hint="eastAsia" w:ascii="仿宋_GB2312" w:eastAsia="仿宋_GB2312"/>
          <w:spacing w:val="5"/>
          <w:sz w:val="32"/>
          <w:szCs w:val="32"/>
          <w:shd w:val="clear" w:color="auto" w:fill="FFFFFF"/>
        </w:rPr>
        <w:t>2.原州区农技中心结合实施规模、地点等，对各申报经营主体，按照申报规模大小、申报条件等情况，从高到低确定实施经营主体，并在县内主要媒体公示5个工作日，接受社会监督。对公示无异议的申报经营主体，将确定为“2021年原州区有机肥（堆肥）替代化肥项目”实施经营主体。</w:t>
      </w:r>
    </w:p>
    <w:p>
      <w:pPr>
        <w:pStyle w:val="5"/>
        <w:shd w:val="clear" w:color="auto" w:fill="FFFFFF"/>
        <w:spacing w:before="0" w:beforeAutospacing="0" w:after="0" w:afterAutospacing="0" w:line="600" w:lineRule="exact"/>
        <w:ind w:firstLine="660" w:firstLineChars="200"/>
        <w:jc w:val="both"/>
        <w:rPr>
          <w:rFonts w:hint="eastAsia" w:ascii="仿宋_GB2312" w:hAnsi="Microsoft YaHei UI" w:eastAsia="仿宋_GB2312"/>
          <w:spacing w:val="5"/>
          <w:sz w:val="32"/>
          <w:szCs w:val="32"/>
        </w:rPr>
      </w:pPr>
      <w:r>
        <w:rPr>
          <w:rFonts w:hint="eastAsia" w:ascii="仿宋_GB2312" w:eastAsia="仿宋_GB2312"/>
          <w:spacing w:val="5"/>
          <w:sz w:val="32"/>
          <w:szCs w:val="32"/>
          <w:shd w:val="clear" w:color="auto" w:fill="FFFFFF"/>
        </w:rPr>
        <w:t>3.申报时间：原州区农技中心接受申报材料时间自公告之日起，截止2021年2月20日18：00之前。</w:t>
      </w:r>
    </w:p>
    <w:p>
      <w:pPr>
        <w:spacing w:line="600" w:lineRule="exact"/>
        <w:ind w:firstLine="640" w:firstLineChars="200"/>
        <w:rPr>
          <w:rFonts w:hint="eastAsia" w:ascii="仿宋_GB2312" w:hAnsi="仿宋" w:eastAsia="仿宋_GB2312" w:cs="仿宋_GB2312"/>
          <w:kern w:val="0"/>
          <w:sz w:val="32"/>
          <w:szCs w:val="32"/>
        </w:rPr>
      </w:pPr>
      <w:r>
        <w:rPr>
          <w:rFonts w:hint="eastAsia" w:ascii="仿宋_GB2312" w:hAnsi="仿宋" w:eastAsia="仿宋_GB2312" w:cs="仿宋_GB2312"/>
          <w:kern w:val="0"/>
          <w:sz w:val="32"/>
          <w:szCs w:val="32"/>
        </w:rPr>
        <w:t>4.联系方式</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联系人：张宏熹  赵东</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联系电话：0954-2031867 138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0878  180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2176</w:t>
      </w:r>
    </w:p>
    <w:p>
      <w:pPr>
        <w:pStyle w:val="5"/>
        <w:shd w:val="clear" w:color="auto" w:fill="FFFFFF"/>
        <w:spacing w:before="0" w:beforeAutospacing="0" w:after="0" w:afterAutospacing="0" w:line="600" w:lineRule="exact"/>
        <w:ind w:left="2149" w:leftChars="316" w:hanging="1485" w:hangingChars="450"/>
        <w:jc w:val="both"/>
        <w:rPr>
          <w:rFonts w:hint="eastAsia" w:ascii="仿宋_GB2312" w:eastAsia="仿宋_GB2312"/>
          <w:spacing w:val="5"/>
          <w:sz w:val="32"/>
          <w:szCs w:val="32"/>
          <w:shd w:val="clear" w:color="auto" w:fill="FFFFFF"/>
        </w:rPr>
      </w:pPr>
    </w:p>
    <w:p>
      <w:pPr>
        <w:pStyle w:val="5"/>
        <w:shd w:val="clear" w:color="auto" w:fill="FFFFFF"/>
        <w:spacing w:before="0" w:beforeAutospacing="0" w:after="0" w:afterAutospacing="0" w:line="600" w:lineRule="exact"/>
        <w:ind w:left="2149" w:leftChars="316" w:hanging="1485" w:hangingChars="450"/>
        <w:jc w:val="both"/>
        <w:rPr>
          <w:rFonts w:hint="eastAsia" w:ascii="仿宋_GB2312" w:eastAsia="仿宋_GB2312"/>
          <w:spacing w:val="5"/>
          <w:sz w:val="32"/>
          <w:szCs w:val="32"/>
          <w:shd w:val="clear" w:color="auto" w:fill="FFFFFF"/>
        </w:rPr>
      </w:pPr>
      <w:r>
        <w:rPr>
          <w:rFonts w:hint="eastAsia" w:ascii="仿宋_GB2312" w:eastAsia="仿宋_GB2312"/>
          <w:spacing w:val="5"/>
          <w:sz w:val="32"/>
          <w:szCs w:val="32"/>
          <w:shd w:val="clear" w:color="auto" w:fill="FFFFFF"/>
        </w:rPr>
        <w:t>附件：1.</w:t>
      </w:r>
      <w:r>
        <w:rPr>
          <w:rFonts w:hint="eastAsia" w:ascii="仿宋_GB2312" w:eastAsia="仿宋_GB2312"/>
          <w:sz w:val="32"/>
          <w:szCs w:val="32"/>
        </w:rPr>
        <w:t xml:space="preserve"> </w:t>
      </w:r>
      <w:r>
        <w:rPr>
          <w:rFonts w:hint="eastAsia" w:ascii="仿宋_GB2312" w:eastAsia="仿宋_GB2312"/>
          <w:spacing w:val="5"/>
          <w:sz w:val="32"/>
          <w:szCs w:val="32"/>
          <w:shd w:val="clear" w:color="auto" w:fill="FFFFFF"/>
        </w:rPr>
        <w:t>宁夏畜禽粪便堆肥技术规范；</w:t>
      </w:r>
    </w:p>
    <w:p>
      <w:pPr>
        <w:pStyle w:val="5"/>
        <w:shd w:val="clear" w:color="auto" w:fill="FFFFFF"/>
        <w:spacing w:before="0" w:beforeAutospacing="0" w:after="0" w:afterAutospacing="0" w:line="600" w:lineRule="exact"/>
        <w:ind w:left="1981" w:leftChars="810" w:hanging="280" w:hangingChars="85"/>
        <w:jc w:val="both"/>
        <w:rPr>
          <w:rFonts w:hint="eastAsia" w:ascii="仿宋_GB2312" w:hAnsi="Microsoft YaHei UI" w:eastAsia="仿宋_GB2312"/>
          <w:spacing w:val="5"/>
          <w:sz w:val="32"/>
          <w:szCs w:val="32"/>
        </w:rPr>
      </w:pPr>
      <w:r>
        <w:rPr>
          <w:rFonts w:hint="eastAsia" w:ascii="仿宋_GB2312" w:eastAsia="仿宋_GB2312"/>
          <w:spacing w:val="5"/>
          <w:sz w:val="32"/>
          <w:szCs w:val="32"/>
          <w:shd w:val="clear" w:color="auto" w:fill="FFFFFF"/>
        </w:rPr>
        <w:t>2.2021年原州区畜禽粪便堆制腐熟物指标表；</w:t>
      </w:r>
    </w:p>
    <w:p>
      <w:pPr>
        <w:pStyle w:val="5"/>
        <w:shd w:val="clear" w:color="auto" w:fill="FFFFFF"/>
        <w:spacing w:before="0" w:beforeAutospacing="0" w:after="0" w:afterAutospacing="0" w:line="600" w:lineRule="exact"/>
        <w:ind w:left="1981" w:leftChars="810" w:hanging="280" w:hangingChars="85"/>
        <w:jc w:val="both"/>
        <w:rPr>
          <w:rFonts w:hint="eastAsia" w:ascii="仿宋_GB2312" w:hAnsi="Microsoft YaHei UI" w:eastAsia="仿宋_GB2312"/>
          <w:spacing w:val="5"/>
          <w:sz w:val="32"/>
          <w:szCs w:val="32"/>
        </w:rPr>
      </w:pPr>
      <w:r>
        <w:rPr>
          <w:rFonts w:hint="eastAsia" w:ascii="仿宋_GB2312" w:eastAsia="仿宋_GB2312"/>
          <w:spacing w:val="5"/>
          <w:sz w:val="32"/>
          <w:szCs w:val="32"/>
          <w:shd w:val="clear" w:color="auto" w:fill="FFFFFF"/>
        </w:rPr>
        <w:t>3.</w:t>
      </w:r>
      <w:r>
        <w:rPr>
          <w:rFonts w:hint="eastAsia" w:ascii="仿宋_GB2312" w:eastAsia="仿宋_GB2312"/>
          <w:spacing w:val="5"/>
          <w:sz w:val="32"/>
          <w:szCs w:val="32"/>
        </w:rPr>
        <w:t>2021年</w:t>
      </w:r>
      <w:r>
        <w:rPr>
          <w:rFonts w:hint="eastAsia" w:ascii="仿宋_GB2312" w:eastAsia="仿宋_GB2312"/>
          <w:spacing w:val="5"/>
          <w:sz w:val="32"/>
          <w:szCs w:val="32"/>
          <w:shd w:val="clear" w:color="auto" w:fill="FFFFFF"/>
        </w:rPr>
        <w:t>原州区</w:t>
      </w:r>
      <w:r>
        <w:rPr>
          <w:rFonts w:hint="eastAsia" w:ascii="仿宋_GB2312" w:eastAsia="仿宋_GB2312"/>
          <w:spacing w:val="5"/>
          <w:sz w:val="32"/>
          <w:szCs w:val="32"/>
        </w:rPr>
        <w:t>有机肥（堆肥）申报表。</w:t>
      </w:r>
    </w:p>
    <w:p>
      <w:pPr>
        <w:pStyle w:val="5"/>
        <w:shd w:val="clear" w:color="auto" w:fill="FFFFFF"/>
        <w:spacing w:before="0" w:beforeAutospacing="0" w:after="0" w:afterAutospacing="0" w:line="600" w:lineRule="exact"/>
        <w:ind w:firstLine="660" w:firstLineChars="200"/>
        <w:jc w:val="both"/>
        <w:rPr>
          <w:rFonts w:hint="eastAsia" w:ascii="仿宋_GB2312" w:hAnsi="Microsoft YaHei UI" w:eastAsia="仿宋_GB2312"/>
          <w:spacing w:val="5"/>
          <w:sz w:val="32"/>
          <w:szCs w:val="32"/>
        </w:rPr>
      </w:pPr>
      <w:r>
        <w:rPr>
          <w:rFonts w:hint="eastAsia" w:eastAsia="仿宋_GB2312"/>
          <w:spacing w:val="5"/>
          <w:sz w:val="32"/>
          <w:szCs w:val="32"/>
          <w:shd w:val="clear" w:color="auto" w:fill="FFFFFF"/>
        </w:rPr>
        <w:t>     </w:t>
      </w:r>
    </w:p>
    <w:p>
      <w:pPr>
        <w:pStyle w:val="5"/>
        <w:shd w:val="clear" w:color="auto" w:fill="FFFFFF"/>
        <w:spacing w:before="0" w:beforeAutospacing="0" w:after="0" w:afterAutospacing="0" w:line="600" w:lineRule="exact"/>
        <w:ind w:firstLine="660" w:firstLineChars="200"/>
        <w:jc w:val="both"/>
        <w:rPr>
          <w:rFonts w:hint="eastAsia" w:ascii="仿宋_GB2312" w:hAnsi="Microsoft YaHei UI" w:eastAsia="仿宋_GB2312"/>
          <w:spacing w:val="5"/>
          <w:sz w:val="32"/>
          <w:szCs w:val="32"/>
        </w:rPr>
      </w:pPr>
      <w:r>
        <w:rPr>
          <w:rFonts w:hint="eastAsia" w:eastAsia="仿宋_GB2312"/>
          <w:spacing w:val="5"/>
          <w:sz w:val="32"/>
          <w:szCs w:val="32"/>
          <w:shd w:val="clear" w:color="auto" w:fill="FFFFFF"/>
        </w:rPr>
        <w:t>      </w:t>
      </w:r>
      <w:r>
        <w:rPr>
          <w:rFonts w:hint="eastAsia" w:ascii="仿宋_GB2312" w:eastAsia="仿宋_GB2312"/>
          <w:spacing w:val="5"/>
          <w:sz w:val="32"/>
          <w:szCs w:val="32"/>
          <w:shd w:val="clear" w:color="auto" w:fill="FFFFFF"/>
        </w:rPr>
        <w:t xml:space="preserve">           原州区农业农村局</w:t>
      </w:r>
    </w:p>
    <w:p>
      <w:pPr>
        <w:pStyle w:val="5"/>
        <w:shd w:val="clear" w:color="auto" w:fill="FFFFFF"/>
        <w:spacing w:before="0" w:beforeAutospacing="0" w:after="0" w:afterAutospacing="0" w:line="600" w:lineRule="exact"/>
        <w:ind w:firstLine="660" w:firstLineChars="200"/>
        <w:jc w:val="both"/>
        <w:rPr>
          <w:rFonts w:hint="eastAsia" w:ascii="仿宋_GB2312" w:hAnsi="Microsoft YaHei UI" w:eastAsia="仿宋_GB2312"/>
          <w:spacing w:val="5"/>
          <w:sz w:val="32"/>
          <w:szCs w:val="32"/>
        </w:rPr>
      </w:pPr>
      <w:r>
        <w:rPr>
          <w:rFonts w:hint="eastAsia" w:eastAsia="仿宋_GB2312"/>
          <w:spacing w:val="5"/>
          <w:sz w:val="32"/>
          <w:szCs w:val="32"/>
          <w:shd w:val="clear" w:color="auto" w:fill="FFFFFF"/>
        </w:rPr>
        <w:t>       </w:t>
      </w:r>
      <w:r>
        <w:rPr>
          <w:rFonts w:hint="eastAsia" w:ascii="仿宋_GB2312" w:eastAsia="仿宋_GB2312"/>
          <w:spacing w:val="5"/>
          <w:sz w:val="32"/>
          <w:szCs w:val="32"/>
          <w:shd w:val="clear" w:color="auto" w:fill="FFFFFF"/>
        </w:rPr>
        <w:t xml:space="preserve">          2021年2月5日</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spacing w:line="560" w:lineRule="exact"/>
        <w:rPr>
          <w:rFonts w:ascii="仿宋_GB2312" w:hAnsi="仿宋_GB2312" w:eastAsia="仿宋_GB2312" w:cs="仿宋_GB2312"/>
          <w:color w:val="000000" w:themeColor="text1"/>
          <w:sz w:val="32"/>
          <w:szCs w:val="32"/>
        </w:rPr>
      </w:pPr>
    </w:p>
    <w:p>
      <w:pPr>
        <w:pStyle w:val="5"/>
        <w:spacing w:before="0" w:beforeAutospacing="0" w:after="0" w:afterAutospacing="0" w:line="500" w:lineRule="exact"/>
        <w:jc w:val="both"/>
        <w:rPr>
          <w:rFonts w:hint="eastAsia"/>
          <w:bCs/>
          <w:color w:val="333333"/>
          <w:spacing w:val="5"/>
          <w:sz w:val="32"/>
          <w:szCs w:val="32"/>
        </w:rPr>
      </w:pPr>
    </w:p>
    <w:p>
      <w:pPr>
        <w:pStyle w:val="5"/>
        <w:spacing w:before="0" w:beforeAutospacing="0" w:after="0" w:afterAutospacing="0" w:line="500" w:lineRule="exact"/>
        <w:jc w:val="both"/>
        <w:rPr>
          <w:rFonts w:hint="eastAsia"/>
          <w:bCs/>
          <w:color w:val="333333"/>
          <w:spacing w:val="5"/>
          <w:sz w:val="32"/>
          <w:szCs w:val="32"/>
        </w:rPr>
      </w:pPr>
    </w:p>
    <w:p>
      <w:pPr>
        <w:pStyle w:val="5"/>
        <w:spacing w:before="0" w:beforeAutospacing="0" w:after="0" w:afterAutospacing="0" w:line="500" w:lineRule="exact"/>
        <w:jc w:val="both"/>
        <w:rPr>
          <w:rFonts w:hint="eastAsia"/>
          <w:bCs/>
          <w:color w:val="333333"/>
          <w:spacing w:val="5"/>
          <w:sz w:val="32"/>
          <w:szCs w:val="32"/>
        </w:rPr>
      </w:pPr>
    </w:p>
    <w:p>
      <w:pPr>
        <w:pStyle w:val="5"/>
        <w:spacing w:before="0" w:beforeAutospacing="0" w:after="0" w:afterAutospacing="0" w:line="500" w:lineRule="exact"/>
        <w:jc w:val="both"/>
        <w:rPr>
          <w:rFonts w:ascii="仿宋_GB2312" w:hAnsi="Microsoft YaHei UI" w:eastAsia="仿宋_GB2312"/>
          <w:b/>
          <w:color w:val="333333"/>
          <w:spacing w:val="5"/>
          <w:sz w:val="30"/>
          <w:szCs w:val="30"/>
        </w:rPr>
      </w:pPr>
      <w:r>
        <w:rPr>
          <w:rFonts w:hint="eastAsia"/>
          <w:bCs/>
          <w:color w:val="333333"/>
          <w:spacing w:val="5"/>
          <w:sz w:val="32"/>
          <w:szCs w:val="32"/>
        </w:rPr>
        <w:t>附件1：</w:t>
      </w:r>
      <w:r>
        <w:rPr>
          <w:rFonts w:hint="eastAsia"/>
          <w:color w:val="222222"/>
          <w:spacing w:val="5"/>
          <w:sz w:val="32"/>
          <w:szCs w:val="32"/>
          <w:shd w:val="clear" w:color="auto" w:fill="FFFFFF"/>
        </w:rPr>
        <w:t>宁夏畜禽粪便堆肥技术规范</w:t>
      </w:r>
      <w:r>
        <w:rPr>
          <w:rFonts w:hint="eastAsia" w:ascii="仿宋_GB2312" w:hAnsi="Microsoft YaHei UI" w:eastAsia="仿宋_GB2312"/>
          <w:b/>
          <w:color w:val="333333"/>
          <w:spacing w:val="5"/>
          <w:sz w:val="30"/>
          <w:szCs w:val="30"/>
        </w:rPr>
        <w:t xml:space="preserve">         </w:t>
      </w:r>
    </w:p>
    <w:p>
      <w:pPr>
        <w:pStyle w:val="5"/>
        <w:spacing w:before="0" w:beforeAutospacing="0" w:after="0" w:afterAutospacing="0"/>
        <w:jc w:val="center"/>
        <w:rPr>
          <w:rFonts w:ascii="仿宋_GB2312" w:hAnsi="Microsoft YaHei UI" w:eastAsia="仿宋_GB2312"/>
          <w:b/>
          <w:color w:val="333333"/>
          <w:spacing w:val="5"/>
          <w:sz w:val="30"/>
          <w:szCs w:val="30"/>
        </w:rPr>
      </w:pPr>
      <w:r>
        <w:rPr>
          <w:rFonts w:ascii="仿宋_GB2312" w:hAnsi="Microsoft YaHei UI" w:eastAsia="仿宋_GB2312"/>
          <w:b/>
          <w:color w:val="333333"/>
          <w:spacing w:val="5"/>
          <w:sz w:val="30"/>
          <w:szCs w:val="30"/>
        </w:rPr>
        <w:drawing>
          <wp:inline distT="0" distB="0" distL="0" distR="0">
            <wp:extent cx="5615305" cy="7842250"/>
            <wp:effectExtent l="0" t="0" r="444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5" cstate="print"/>
                    <a:srcRect/>
                    <a:stretch>
                      <a:fillRect/>
                    </a:stretch>
                  </pic:blipFill>
                  <pic:spPr>
                    <a:xfrm>
                      <a:off x="0" y="0"/>
                      <a:ext cx="5615940" cy="7842250"/>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r>
        <w:rPr>
          <w:rFonts w:ascii="仿宋_GB2312" w:hAnsi="Microsoft YaHei UI" w:eastAsia="仿宋_GB2312"/>
          <w:b/>
          <w:color w:val="333333"/>
          <w:spacing w:val="5"/>
          <w:sz w:val="30"/>
          <w:szCs w:val="30"/>
        </w:rPr>
        <w:drawing>
          <wp:inline distT="0" distB="0" distL="0" distR="0">
            <wp:extent cx="5615940" cy="7480935"/>
            <wp:effectExtent l="0" t="0" r="3810"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6" cstate="print"/>
                    <a:srcRect/>
                    <a:stretch>
                      <a:fillRect/>
                    </a:stretch>
                  </pic:blipFill>
                  <pic:spPr>
                    <a:xfrm>
                      <a:off x="0" y="0"/>
                      <a:ext cx="5615940" cy="7481147"/>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r>
        <w:rPr>
          <w:rFonts w:ascii="仿宋_GB2312" w:hAnsi="Microsoft YaHei UI" w:eastAsia="仿宋_GB2312"/>
          <w:b/>
          <w:color w:val="333333"/>
          <w:spacing w:val="5"/>
          <w:sz w:val="30"/>
          <w:szCs w:val="30"/>
        </w:rPr>
        <w:drawing>
          <wp:inline distT="0" distB="0" distL="0" distR="0">
            <wp:extent cx="5614035" cy="885825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a:stretch>
                      <a:fillRect/>
                    </a:stretch>
                  </pic:blipFill>
                  <pic:spPr>
                    <a:xfrm>
                      <a:off x="0" y="0"/>
                      <a:ext cx="5615940" cy="8860274"/>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r>
        <w:rPr>
          <w:rFonts w:ascii="仿宋_GB2312" w:hAnsi="Microsoft YaHei UI" w:eastAsia="仿宋_GB2312"/>
          <w:b/>
          <w:color w:val="333333"/>
          <w:spacing w:val="5"/>
          <w:sz w:val="30"/>
          <w:szCs w:val="30"/>
        </w:rPr>
        <w:drawing>
          <wp:inline distT="0" distB="0" distL="0" distR="0">
            <wp:extent cx="5615305" cy="8864600"/>
            <wp:effectExtent l="0" t="0" r="444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8" cstate="print"/>
                    <a:srcRect/>
                    <a:stretch>
                      <a:fillRect/>
                    </a:stretch>
                  </pic:blipFill>
                  <pic:spPr>
                    <a:xfrm>
                      <a:off x="0" y="0"/>
                      <a:ext cx="5615940" cy="8864847"/>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r>
        <w:rPr>
          <w:rFonts w:hint="eastAsia" w:ascii="仿宋_GB2312" w:hAnsi="Microsoft YaHei UI" w:eastAsia="仿宋_GB2312"/>
          <w:b/>
          <w:color w:val="333333"/>
          <w:spacing w:val="5"/>
          <w:sz w:val="30"/>
          <w:szCs w:val="30"/>
        </w:rPr>
        <w:drawing>
          <wp:inline distT="0" distB="0" distL="0" distR="0">
            <wp:extent cx="5615940" cy="8985250"/>
            <wp:effectExtent l="0" t="0" r="381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srcRect/>
                    <a:stretch>
                      <a:fillRect/>
                    </a:stretch>
                  </pic:blipFill>
                  <pic:spPr>
                    <a:xfrm>
                      <a:off x="0" y="0"/>
                      <a:ext cx="5615940" cy="8985250"/>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r>
        <w:rPr>
          <w:rFonts w:ascii="仿宋_GB2312" w:hAnsi="Microsoft YaHei UI" w:eastAsia="仿宋_GB2312"/>
          <w:b/>
          <w:color w:val="333333"/>
          <w:spacing w:val="5"/>
          <w:sz w:val="30"/>
          <w:szCs w:val="30"/>
        </w:rPr>
        <w:drawing>
          <wp:inline distT="0" distB="0" distL="0" distR="0">
            <wp:extent cx="5614670" cy="908685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srcRect/>
                    <a:stretch>
                      <a:fillRect/>
                    </a:stretch>
                  </pic:blipFill>
                  <pic:spPr>
                    <a:xfrm>
                      <a:off x="0" y="0"/>
                      <a:ext cx="5615940" cy="9088849"/>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r>
        <w:rPr>
          <w:rFonts w:ascii="仿宋_GB2312" w:hAnsi="Microsoft YaHei UI" w:eastAsia="仿宋_GB2312"/>
          <w:b/>
          <w:color w:val="333333"/>
          <w:spacing w:val="5"/>
          <w:sz w:val="30"/>
          <w:szCs w:val="30"/>
        </w:rPr>
        <w:drawing>
          <wp:inline distT="0" distB="0" distL="0" distR="0">
            <wp:extent cx="5615940" cy="4908550"/>
            <wp:effectExtent l="0" t="0" r="381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srcRect/>
                    <a:stretch>
                      <a:fillRect/>
                    </a:stretch>
                  </pic:blipFill>
                  <pic:spPr>
                    <a:xfrm>
                      <a:off x="0" y="0"/>
                      <a:ext cx="5615940" cy="4909038"/>
                    </a:xfrm>
                    <a:prstGeom prst="rect">
                      <a:avLst/>
                    </a:prstGeom>
                    <a:noFill/>
                    <a:ln w="9525">
                      <a:noFill/>
                      <a:miter lim="800000"/>
                      <a:headEnd/>
                      <a:tailEnd/>
                    </a:ln>
                  </pic:spPr>
                </pic:pic>
              </a:graphicData>
            </a:graphic>
          </wp:inline>
        </w:drawing>
      </w: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jc w:val="center"/>
        <w:rPr>
          <w:rFonts w:ascii="仿宋_GB2312" w:hAnsi="Microsoft YaHei UI" w:eastAsia="仿宋_GB2312"/>
          <w:b/>
          <w:color w:val="333333"/>
          <w:spacing w:val="5"/>
          <w:sz w:val="30"/>
          <w:szCs w:val="30"/>
        </w:rPr>
      </w:pPr>
    </w:p>
    <w:p>
      <w:pPr>
        <w:pStyle w:val="5"/>
        <w:spacing w:before="0" w:beforeAutospacing="0" w:after="0" w:afterAutospacing="0" w:line="500" w:lineRule="exact"/>
        <w:jc w:val="both"/>
        <w:rPr>
          <w:bCs/>
          <w:color w:val="333333"/>
          <w:spacing w:val="5"/>
          <w:sz w:val="32"/>
          <w:szCs w:val="32"/>
        </w:rPr>
      </w:pPr>
    </w:p>
    <w:p>
      <w:pPr>
        <w:pStyle w:val="5"/>
        <w:spacing w:before="0" w:beforeAutospacing="0" w:after="0" w:afterAutospacing="0" w:line="500" w:lineRule="exact"/>
        <w:jc w:val="both"/>
        <w:rPr>
          <w:bCs/>
          <w:color w:val="333333"/>
          <w:spacing w:val="5"/>
          <w:sz w:val="32"/>
          <w:szCs w:val="32"/>
        </w:rPr>
      </w:pPr>
      <w:r>
        <w:rPr>
          <w:rFonts w:hint="eastAsia"/>
          <w:bCs/>
          <w:color w:val="333333"/>
          <w:spacing w:val="5"/>
          <w:sz w:val="32"/>
          <w:szCs w:val="32"/>
        </w:rPr>
        <w:t>附件2：</w:t>
      </w:r>
    </w:p>
    <w:p>
      <w:pPr>
        <w:pStyle w:val="5"/>
        <w:spacing w:before="0" w:beforeAutospacing="0" w:after="0" w:afterAutospacing="0" w:line="500" w:lineRule="exact"/>
        <w:jc w:val="center"/>
        <w:rPr>
          <w:rFonts w:hint="eastAsia"/>
          <w:bCs/>
          <w:color w:val="333333"/>
          <w:spacing w:val="5"/>
          <w:sz w:val="32"/>
          <w:szCs w:val="32"/>
        </w:rPr>
      </w:pPr>
      <w:r>
        <w:rPr>
          <w:rFonts w:hint="eastAsia"/>
          <w:bCs/>
          <w:color w:val="333333"/>
          <w:spacing w:val="5"/>
          <w:sz w:val="32"/>
          <w:szCs w:val="32"/>
        </w:rPr>
        <w:t>2021年原州区有机肥替代化肥项目畜禽粪便堆制有机肥</w:t>
      </w:r>
    </w:p>
    <w:p>
      <w:pPr>
        <w:pStyle w:val="5"/>
        <w:spacing w:before="0" w:beforeAutospacing="0" w:after="0" w:afterAutospacing="0" w:line="500" w:lineRule="exact"/>
        <w:jc w:val="center"/>
        <w:rPr>
          <w:bCs/>
          <w:color w:val="333333"/>
          <w:spacing w:val="5"/>
          <w:sz w:val="32"/>
          <w:szCs w:val="32"/>
        </w:rPr>
      </w:pPr>
      <w:r>
        <w:rPr>
          <w:rFonts w:hint="eastAsia"/>
          <w:bCs/>
          <w:color w:val="333333"/>
          <w:spacing w:val="5"/>
          <w:sz w:val="32"/>
          <w:szCs w:val="32"/>
        </w:rPr>
        <w:t>产物指标表</w:t>
      </w:r>
    </w:p>
    <w:p>
      <w:pPr>
        <w:pStyle w:val="5"/>
        <w:spacing w:before="0" w:beforeAutospacing="0" w:after="0" w:afterAutospacing="0" w:line="500" w:lineRule="exact"/>
        <w:jc w:val="center"/>
        <w:rPr>
          <w:rFonts w:ascii="仿宋_GB2312" w:hAnsi="Microsoft YaHei UI" w:eastAsia="仿宋_GB2312"/>
          <w:b/>
          <w:color w:val="333333"/>
          <w:spacing w:val="5"/>
          <w:sz w:val="30"/>
          <w:szCs w:val="30"/>
        </w:rPr>
      </w:pPr>
    </w:p>
    <w:tbl>
      <w:tblPr>
        <w:tblStyle w:val="8"/>
        <w:tblW w:w="8819"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34"/>
        <w:gridCol w:w="3664"/>
        <w:gridCol w:w="11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项目</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指标</w:t>
            </w:r>
          </w:p>
        </w:tc>
        <w:tc>
          <w:tcPr>
            <w:tcW w:w="1121" w:type="dxa"/>
            <w:vAlign w:val="center"/>
          </w:tcPr>
          <w:p>
            <w:pPr>
              <w:pStyle w:val="5"/>
              <w:spacing w:before="0" w:beforeAutospacing="0" w:after="0" w:afterAutospacing="0"/>
              <w:jc w:val="center"/>
              <w:rPr>
                <w:color w:val="333333"/>
                <w:spacing w:val="5"/>
              </w:rPr>
            </w:pPr>
            <w:r>
              <w:rPr>
                <w:rFonts w:hint="eastAsia"/>
                <w:color w:val="333333"/>
                <w:spacing w:val="5"/>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40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外观</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褐色或黑褐色，粉状，均匀，无机械杂质，无恶臭味，堆体周围无活的蛆、蛹或新羽化的成蝇。</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堆制原料</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畜禽粪便、作物秸秆、尾菜等。</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有机质质量份数（以干基计），%</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≥23</w:t>
            </w:r>
          </w:p>
        </w:tc>
        <w:tc>
          <w:tcPr>
            <w:tcW w:w="1121" w:type="dxa"/>
            <w:vAlign w:val="center"/>
          </w:tcPr>
          <w:p>
            <w:pPr>
              <w:pStyle w:val="5"/>
              <w:spacing w:before="0" w:beforeAutospacing="0" w:after="0" w:afterAutospacing="0"/>
              <w:jc w:val="center"/>
              <w:rPr>
                <w:color w:val="333333"/>
                <w:spacing w:val="5"/>
              </w:rPr>
            </w:pPr>
            <w:r>
              <w:rPr>
                <w:rFonts w:hint="eastAsia"/>
                <w:color w:val="333333"/>
                <w:spacing w:val="5"/>
              </w:rPr>
              <w:t>暂定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水分含量，%</w:t>
            </w:r>
          </w:p>
        </w:tc>
        <w:tc>
          <w:tcPr>
            <w:tcW w:w="3664" w:type="dxa"/>
            <w:vAlign w:val="center"/>
          </w:tcPr>
          <w:p>
            <w:pPr>
              <w:pStyle w:val="5"/>
              <w:spacing w:before="0" w:beforeAutospacing="0" w:after="0" w:afterAutospacing="0"/>
              <w:jc w:val="center"/>
              <w:rPr>
                <w:color w:val="FF0000"/>
                <w:spacing w:val="5"/>
              </w:rPr>
            </w:pPr>
            <w:r>
              <w:rPr>
                <w:rFonts w:hint="eastAsia"/>
                <w:color w:val="333333"/>
                <w:spacing w:val="5"/>
              </w:rPr>
              <w:t>≤45</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总镉（Cd）(以烘干基计)</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≤3mg/kg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总汞（Hg）(以烘干基计)</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≤2mg/kg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总铅（Pb）(以烘干基计)</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≤50mg/kg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总铬（Cr）(以烘干基计)</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≤150mg/kg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总砷（As）(以烘干基计)</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≤15mg/kg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蛔虫卵死亡率，%</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≥95</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粪大肠菌群数</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≤100个/g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76"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全盐含量</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w:t>
            </w:r>
            <w:r>
              <w:rPr>
                <w:rFonts w:hint="eastAsia"/>
                <w:color w:val="000000" w:themeColor="text1"/>
                <w:spacing w:val="5"/>
              </w:rPr>
              <w:t>5</w:t>
            </w:r>
            <w:r>
              <w:rPr>
                <w:rFonts w:hint="eastAsia"/>
                <w:color w:val="333333"/>
                <w:spacing w:val="5"/>
              </w:rPr>
              <w:t>0g/kg</w:t>
            </w:r>
          </w:p>
        </w:tc>
        <w:tc>
          <w:tcPr>
            <w:tcW w:w="1121" w:type="dxa"/>
            <w:vAlign w:val="center"/>
          </w:tcPr>
          <w:p>
            <w:pPr>
              <w:pStyle w:val="5"/>
              <w:spacing w:before="0" w:beforeAutospacing="0" w:after="0" w:afterAutospacing="0"/>
              <w:jc w:val="center"/>
              <w:rPr>
                <w:color w:val="333333"/>
                <w:spacing w:val="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34" w:hRule="atLeast"/>
          <w:jc w:val="center"/>
        </w:trPr>
        <w:tc>
          <w:tcPr>
            <w:tcW w:w="4034" w:type="dxa"/>
            <w:vAlign w:val="center"/>
          </w:tcPr>
          <w:p>
            <w:pPr>
              <w:pStyle w:val="5"/>
              <w:spacing w:before="0" w:beforeAutospacing="0" w:after="0" w:afterAutospacing="0"/>
              <w:jc w:val="center"/>
              <w:rPr>
                <w:color w:val="333333"/>
                <w:spacing w:val="5"/>
              </w:rPr>
            </w:pPr>
            <w:r>
              <w:rPr>
                <w:rFonts w:hint="eastAsia"/>
                <w:color w:val="333333"/>
                <w:spacing w:val="5"/>
              </w:rPr>
              <w:t>种子发芽指数，%</w:t>
            </w:r>
          </w:p>
        </w:tc>
        <w:tc>
          <w:tcPr>
            <w:tcW w:w="3664" w:type="dxa"/>
            <w:vAlign w:val="center"/>
          </w:tcPr>
          <w:p>
            <w:pPr>
              <w:pStyle w:val="5"/>
              <w:spacing w:before="0" w:beforeAutospacing="0" w:after="0" w:afterAutospacing="0"/>
              <w:jc w:val="center"/>
              <w:rPr>
                <w:color w:val="333333"/>
                <w:spacing w:val="5"/>
              </w:rPr>
            </w:pPr>
            <w:r>
              <w:rPr>
                <w:rFonts w:hint="eastAsia"/>
                <w:color w:val="333333"/>
                <w:spacing w:val="5"/>
              </w:rPr>
              <w:t>≥70</w:t>
            </w:r>
          </w:p>
        </w:tc>
        <w:tc>
          <w:tcPr>
            <w:tcW w:w="1121" w:type="dxa"/>
            <w:vAlign w:val="center"/>
          </w:tcPr>
          <w:p>
            <w:pPr>
              <w:pStyle w:val="5"/>
              <w:spacing w:before="0" w:beforeAutospacing="0" w:after="0" w:afterAutospacing="0"/>
              <w:jc w:val="center"/>
              <w:rPr>
                <w:color w:val="333333"/>
                <w:spacing w:val="5"/>
              </w:rPr>
            </w:pPr>
          </w:p>
        </w:tc>
      </w:tr>
    </w:tbl>
    <w:p>
      <w:pPr>
        <w:pStyle w:val="5"/>
        <w:spacing w:before="0" w:beforeAutospacing="0" w:after="0" w:afterAutospacing="0" w:line="500" w:lineRule="exact"/>
        <w:jc w:val="both"/>
        <w:rPr>
          <w:bCs/>
          <w:color w:val="333333"/>
          <w:spacing w:val="5"/>
          <w:sz w:val="32"/>
          <w:szCs w:val="32"/>
        </w:rPr>
      </w:pPr>
      <w:r>
        <w:rPr>
          <w:rFonts w:hint="eastAsia"/>
          <w:bCs/>
          <w:color w:val="333333"/>
          <w:spacing w:val="5"/>
          <w:sz w:val="32"/>
          <w:szCs w:val="32"/>
        </w:rPr>
        <w:t>附件3：</w:t>
      </w:r>
    </w:p>
    <w:p>
      <w:pPr>
        <w:pStyle w:val="5"/>
        <w:spacing w:before="0" w:beforeAutospacing="0" w:after="0" w:afterAutospacing="0" w:line="500" w:lineRule="exact"/>
        <w:jc w:val="center"/>
        <w:rPr>
          <w:bCs/>
          <w:color w:val="333333"/>
          <w:spacing w:val="5"/>
          <w:sz w:val="32"/>
          <w:szCs w:val="32"/>
        </w:rPr>
      </w:pPr>
      <w:r>
        <w:rPr>
          <w:rFonts w:hint="eastAsia"/>
          <w:bCs/>
          <w:color w:val="333333"/>
          <w:spacing w:val="5"/>
          <w:sz w:val="32"/>
          <w:szCs w:val="32"/>
        </w:rPr>
        <w:t>2021年原州区有机肥（堆肥）替代化肥项目申报表</w:t>
      </w:r>
    </w:p>
    <w:tbl>
      <w:tblPr>
        <w:tblStyle w:val="8"/>
        <w:tblW w:w="9569"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4"/>
        <w:gridCol w:w="1871"/>
        <w:gridCol w:w="69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3" w:hRule="atLeast"/>
          <w:jc w:val="center"/>
        </w:trPr>
        <w:tc>
          <w:tcPr>
            <w:tcW w:w="75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序号</w:t>
            </w:r>
          </w:p>
        </w:tc>
        <w:tc>
          <w:tcPr>
            <w:tcW w:w="1871"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项目</w:t>
            </w:r>
          </w:p>
        </w:tc>
        <w:tc>
          <w:tcPr>
            <w:tcW w:w="694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申报内容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19" w:hRule="atLeast"/>
          <w:jc w:val="center"/>
        </w:trPr>
        <w:tc>
          <w:tcPr>
            <w:tcW w:w="75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1</w:t>
            </w:r>
          </w:p>
        </w:tc>
        <w:tc>
          <w:tcPr>
            <w:tcW w:w="1871"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申报经营主体</w:t>
            </w:r>
          </w:p>
        </w:tc>
        <w:tc>
          <w:tcPr>
            <w:tcW w:w="6944" w:type="dxa"/>
          </w:tcPr>
          <w:p>
            <w:pPr>
              <w:pStyle w:val="5"/>
              <w:spacing w:before="0" w:beforeAutospacing="0" w:after="0" w:afterAutospacing="0" w:line="500" w:lineRule="exact"/>
              <w:jc w:val="both"/>
              <w:rPr>
                <w:rFonts w:hint="eastAsia"/>
                <w:color w:val="333333"/>
                <w:spacing w:val="5"/>
                <w:sz w:val="20"/>
                <w:szCs w:val="20"/>
              </w:rPr>
            </w:pPr>
          </w:p>
          <w:p>
            <w:pPr>
              <w:pStyle w:val="5"/>
              <w:spacing w:before="0" w:beforeAutospacing="0" w:after="0" w:afterAutospacing="0" w:line="500" w:lineRule="exact"/>
              <w:jc w:val="both"/>
              <w:rPr>
                <w:color w:val="333333"/>
                <w:spacing w:val="5"/>
                <w:sz w:val="20"/>
                <w:szCs w:val="20"/>
              </w:rPr>
            </w:pPr>
            <w:r>
              <w:rPr>
                <w:rFonts w:hint="eastAsia"/>
                <w:color w:val="333333"/>
                <w:spacing w:val="5"/>
                <w:sz w:val="20"/>
                <w:szCs w:val="20"/>
              </w:rPr>
              <w:t>经营主体名称（盖章）：</w:t>
            </w:r>
          </w:p>
          <w:p>
            <w:pPr>
              <w:pStyle w:val="5"/>
              <w:spacing w:before="0" w:beforeAutospacing="0" w:after="0" w:afterAutospacing="0" w:line="500" w:lineRule="exact"/>
              <w:jc w:val="both"/>
              <w:rPr>
                <w:rFonts w:hint="eastAsia"/>
                <w:color w:val="333333"/>
                <w:spacing w:val="5"/>
                <w:sz w:val="20"/>
                <w:szCs w:val="20"/>
              </w:rPr>
            </w:pPr>
          </w:p>
          <w:p>
            <w:pPr>
              <w:pStyle w:val="5"/>
              <w:spacing w:before="0" w:beforeAutospacing="0" w:after="0" w:afterAutospacing="0" w:line="500" w:lineRule="exact"/>
              <w:jc w:val="both"/>
              <w:rPr>
                <w:color w:val="333333"/>
                <w:spacing w:val="5"/>
                <w:sz w:val="20"/>
                <w:szCs w:val="20"/>
              </w:rPr>
            </w:pPr>
            <w:r>
              <w:rPr>
                <w:rFonts w:hint="eastAsia"/>
                <w:color w:val="333333"/>
                <w:spacing w:val="5"/>
                <w:sz w:val="20"/>
                <w:szCs w:val="20"/>
              </w:rPr>
              <w:t xml:space="preserve">法人签字：                 联系电话： </w:t>
            </w:r>
          </w:p>
          <w:p>
            <w:pPr>
              <w:pStyle w:val="5"/>
              <w:spacing w:before="0" w:beforeAutospacing="0" w:after="0" w:afterAutospacing="0" w:line="500" w:lineRule="exact"/>
              <w:jc w:val="both"/>
              <w:rPr>
                <w:rFonts w:hint="eastAsia"/>
                <w:color w:val="333333"/>
                <w:spacing w:val="5"/>
                <w:sz w:val="20"/>
                <w:szCs w:val="20"/>
              </w:rPr>
            </w:pPr>
          </w:p>
          <w:p>
            <w:pPr>
              <w:pStyle w:val="5"/>
              <w:spacing w:before="0" w:beforeAutospacing="0" w:after="0" w:afterAutospacing="0" w:line="500" w:lineRule="exact"/>
              <w:ind w:firstLine="3045" w:firstLineChars="1450"/>
              <w:jc w:val="both"/>
              <w:rPr>
                <w:color w:val="333333"/>
                <w:spacing w:val="5"/>
                <w:sz w:val="20"/>
                <w:szCs w:val="20"/>
              </w:rPr>
            </w:pPr>
            <w:r>
              <w:rPr>
                <w:rFonts w:hint="eastAsia"/>
                <w:color w:val="333333"/>
                <w:spacing w:val="5"/>
                <w:sz w:val="20"/>
                <w:szCs w:val="20"/>
              </w:rPr>
              <w:t>申报日期：2021年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02" w:hRule="atLeast"/>
          <w:jc w:val="center"/>
        </w:trPr>
        <w:tc>
          <w:tcPr>
            <w:tcW w:w="75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2</w:t>
            </w:r>
          </w:p>
        </w:tc>
        <w:tc>
          <w:tcPr>
            <w:tcW w:w="1871"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堆肥数量（方）</w:t>
            </w:r>
          </w:p>
        </w:tc>
        <w:tc>
          <w:tcPr>
            <w:tcW w:w="6944" w:type="dxa"/>
          </w:tcPr>
          <w:p>
            <w:pPr>
              <w:pStyle w:val="5"/>
              <w:spacing w:before="0" w:beforeAutospacing="0" w:after="0" w:afterAutospacing="0"/>
              <w:jc w:val="center"/>
              <w:rPr>
                <w:color w:val="333333"/>
                <w:spacing w:val="5"/>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02" w:hRule="atLeast"/>
          <w:jc w:val="center"/>
        </w:trPr>
        <w:tc>
          <w:tcPr>
            <w:tcW w:w="75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3</w:t>
            </w:r>
          </w:p>
        </w:tc>
        <w:tc>
          <w:tcPr>
            <w:tcW w:w="1871" w:type="dxa"/>
            <w:vAlign w:val="center"/>
          </w:tcPr>
          <w:p>
            <w:pPr>
              <w:pStyle w:val="5"/>
              <w:spacing w:before="0" w:beforeAutospacing="0" w:after="0" w:afterAutospacing="0"/>
              <w:jc w:val="both"/>
              <w:rPr>
                <w:color w:val="333333"/>
                <w:spacing w:val="5"/>
                <w:sz w:val="20"/>
                <w:szCs w:val="20"/>
              </w:rPr>
            </w:pPr>
            <w:r>
              <w:rPr>
                <w:rFonts w:hint="eastAsia"/>
                <w:color w:val="333333"/>
                <w:spacing w:val="5"/>
                <w:sz w:val="20"/>
                <w:szCs w:val="20"/>
              </w:rPr>
              <w:t>堆肥原料及来源</w:t>
            </w:r>
          </w:p>
        </w:tc>
        <w:tc>
          <w:tcPr>
            <w:tcW w:w="6944" w:type="dxa"/>
          </w:tcPr>
          <w:p>
            <w:pPr>
              <w:pStyle w:val="5"/>
              <w:spacing w:before="0" w:beforeAutospacing="0" w:after="0" w:afterAutospacing="0"/>
              <w:jc w:val="center"/>
              <w:rPr>
                <w:color w:val="333333"/>
                <w:spacing w:val="5"/>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02" w:hRule="atLeast"/>
          <w:jc w:val="center"/>
        </w:trPr>
        <w:tc>
          <w:tcPr>
            <w:tcW w:w="75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4</w:t>
            </w:r>
          </w:p>
        </w:tc>
        <w:tc>
          <w:tcPr>
            <w:tcW w:w="1871"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拟供应到各项目乡镇数量</w:t>
            </w:r>
          </w:p>
        </w:tc>
        <w:tc>
          <w:tcPr>
            <w:tcW w:w="6944" w:type="dxa"/>
          </w:tcPr>
          <w:p>
            <w:pPr>
              <w:pStyle w:val="5"/>
              <w:spacing w:before="0" w:beforeAutospacing="0" w:after="0" w:afterAutospacing="0"/>
              <w:jc w:val="center"/>
              <w:rPr>
                <w:color w:val="333333"/>
                <w:spacing w:val="5"/>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64" w:hRule="atLeast"/>
          <w:jc w:val="center"/>
        </w:trPr>
        <w:tc>
          <w:tcPr>
            <w:tcW w:w="754" w:type="dxa"/>
            <w:vAlign w:val="center"/>
          </w:tcPr>
          <w:p>
            <w:pPr>
              <w:pStyle w:val="5"/>
              <w:spacing w:before="0" w:beforeAutospacing="0" w:after="0" w:afterAutospacing="0"/>
              <w:jc w:val="center"/>
              <w:rPr>
                <w:color w:val="333333"/>
                <w:spacing w:val="5"/>
                <w:sz w:val="20"/>
                <w:szCs w:val="20"/>
              </w:rPr>
            </w:pPr>
            <w:r>
              <w:rPr>
                <w:rFonts w:hint="eastAsia"/>
                <w:color w:val="333333"/>
                <w:spacing w:val="5"/>
                <w:sz w:val="20"/>
                <w:szCs w:val="20"/>
              </w:rPr>
              <w:t>5</w:t>
            </w:r>
          </w:p>
        </w:tc>
        <w:tc>
          <w:tcPr>
            <w:tcW w:w="1871" w:type="dxa"/>
            <w:vAlign w:val="center"/>
          </w:tcPr>
          <w:p>
            <w:pPr>
              <w:pStyle w:val="5"/>
              <w:spacing w:before="0" w:beforeAutospacing="0" w:after="0" w:afterAutospacing="0"/>
              <w:jc w:val="center"/>
              <w:rPr>
                <w:rFonts w:asciiTheme="majorEastAsia" w:hAnsiTheme="majorEastAsia" w:eastAsiaTheme="majorEastAsia"/>
                <w:color w:val="333333"/>
                <w:spacing w:val="5"/>
                <w:sz w:val="20"/>
                <w:szCs w:val="20"/>
              </w:rPr>
            </w:pPr>
            <w:r>
              <w:rPr>
                <w:rFonts w:hint="eastAsia" w:asciiTheme="majorEastAsia" w:hAnsiTheme="majorEastAsia" w:eastAsiaTheme="majorEastAsia"/>
                <w:color w:val="333333"/>
                <w:spacing w:val="5"/>
                <w:sz w:val="20"/>
                <w:szCs w:val="20"/>
              </w:rPr>
              <w:t>场地、翻抛、拉运等设备情况</w:t>
            </w:r>
          </w:p>
        </w:tc>
        <w:tc>
          <w:tcPr>
            <w:tcW w:w="6944" w:type="dxa"/>
          </w:tcPr>
          <w:p>
            <w:pPr>
              <w:pStyle w:val="5"/>
              <w:spacing w:before="0" w:beforeAutospacing="0" w:after="0" w:afterAutospacing="0"/>
              <w:ind w:firstLine="4200" w:firstLineChars="2000"/>
              <w:jc w:val="both"/>
              <w:rPr>
                <w:color w:val="333333"/>
                <w:spacing w:val="5"/>
                <w:sz w:val="20"/>
                <w:szCs w:val="20"/>
                <w:u w:val="single"/>
              </w:rPr>
            </w:pPr>
          </w:p>
        </w:tc>
      </w:tr>
    </w:tbl>
    <w:p>
      <w:pPr>
        <w:pStyle w:val="5"/>
        <w:spacing w:before="0" w:beforeAutospacing="0" w:after="0" w:afterAutospacing="0"/>
        <w:ind w:firstLine="640" w:firstLineChars="200"/>
        <w:jc w:val="both"/>
        <w:rPr>
          <w:rFonts w:ascii="仿宋_GB2312" w:hAns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Calibri">
    <w:panose1 w:val="020F0502020204030204"/>
    <w:charset w:val="00"/>
    <w:family w:val="decorative"/>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黑体">
    <w:panose1 w:val="02010609060101010101"/>
    <w:charset w:val="86"/>
    <w:family w:val="swiss"/>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Microsoft YaHei UI">
    <w:panose1 w:val="020B0503020204020204"/>
    <w:charset w:val="86"/>
    <w:family w:val="decorative"/>
    <w:pitch w:val="default"/>
    <w:sig w:usb0="80000287" w:usb1="28CF3C52" w:usb2="00000016" w:usb3="00000000" w:csb0="0004001F" w:csb1="00000000"/>
  </w:font>
  <w:font w:name="Cambria">
    <w:panose1 w:val="02040503050406030204"/>
    <w:charset w:val="00"/>
    <w:family w:val="moder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1jjZ2rgBAABeAwAADgAAAAAAAAABACAAAAAeAQAAZHJzL2Uyb0RvYy54bWxQSwUGAAAAAAYABgBZ&#10;AQAASAUAAAAA&#10;">
              <v:fill on="f" focussize="0,0"/>
              <v:stroke on="f" joinstyle="miter"/>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E72"/>
    <w:rsid w:val="00062D00"/>
    <w:rsid w:val="00272DAE"/>
    <w:rsid w:val="002D2646"/>
    <w:rsid w:val="003250DD"/>
    <w:rsid w:val="00535435"/>
    <w:rsid w:val="005355C4"/>
    <w:rsid w:val="005E3B7D"/>
    <w:rsid w:val="00660C16"/>
    <w:rsid w:val="006A0C2A"/>
    <w:rsid w:val="006C0C84"/>
    <w:rsid w:val="007F7F9E"/>
    <w:rsid w:val="0080490D"/>
    <w:rsid w:val="0089068F"/>
    <w:rsid w:val="008E48F9"/>
    <w:rsid w:val="008E50C8"/>
    <w:rsid w:val="009665CA"/>
    <w:rsid w:val="00AB4521"/>
    <w:rsid w:val="00CC229E"/>
    <w:rsid w:val="00CC27E4"/>
    <w:rsid w:val="00CF69E1"/>
    <w:rsid w:val="00D77E96"/>
    <w:rsid w:val="00DA2193"/>
    <w:rsid w:val="00E74E72"/>
    <w:rsid w:val="00EC5362"/>
    <w:rsid w:val="00F41F58"/>
    <w:rsid w:val="00F85120"/>
    <w:rsid w:val="00FC6285"/>
    <w:rsid w:val="2E8A458D"/>
    <w:rsid w:val="430A6AA3"/>
    <w:rsid w:val="522054C8"/>
    <w:rsid w:val="567E63ED"/>
    <w:rsid w:val="60EF0ECD"/>
    <w:rsid w:val="65D70E7A"/>
    <w:rsid w:val="6C714D0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9">
    <w:name w:val="批注框文本 Char"/>
    <w:basedOn w:val="6"/>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365</Words>
  <Characters>2083</Characters>
  <Lines>17</Lines>
  <Paragraphs>4</Paragraphs>
  <TotalTime>0</TotalTime>
  <ScaleCrop>false</ScaleCrop>
  <LinksUpToDate>false</LinksUpToDate>
  <CharactersWithSpaces>2444</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2021-02-04T04:59:00Z</dcterms:created>
  <dc:creator>Administrator</dc:creator>
  <cp:lastModifiedBy>xxzx</cp:lastModifiedBy>
  <cp:lastPrinted>2021-02-04T05:39:00Z</cp:lastPrinted>
  <dcterms:modified xsi:type="dcterms:W3CDTF">2021-02-07T09:42:35Z</dcterms:modified>
  <dc:title>关于申报2021年原州区有机肥（堆肥）替代化肥</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