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5BC8C">
      <w:pPr>
        <w:jc w:val="distribute"/>
        <w:rPr>
          <w:rFonts w:hint="eastAsia" w:ascii="方正小标宋简体" w:hAnsi="方正小标宋简体" w:eastAsia="方正小标宋简体" w:cs="方正小标宋简体"/>
          <w:color w:val="FFFFFF" w:themeColor="background1"/>
          <w:spacing w:val="-23"/>
          <w:w w:val="70"/>
          <w:sz w:val="96"/>
          <w:szCs w:val="96"/>
          <w14:textFill>
            <w14:solidFill>
              <w14:schemeClr w14:val="bg1"/>
            </w14:solidFill>
          </w14:textFill>
        </w:rPr>
      </w:pPr>
      <w:r>
        <w:rPr>
          <w:rFonts w:ascii="Calibri" w:hAnsi="Calibri" w:eastAsia="宋体" w:cs="黑体"/>
          <w:color w:val="FFFFFF" w:themeColor="background1"/>
          <w:sz w:val="32"/>
          <w14:textFill>
            <w14:solidFill>
              <w14:schemeClr w14:val="bg1"/>
            </w14:solidFill>
          </w14:textFill>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859155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rot="10800000">
                          <a:off x="0" y="0"/>
                          <a:ext cx="5615940" cy="0"/>
                        </a:xfrm>
                        <a:prstGeom prst="line">
                          <a:avLst/>
                        </a:prstGeom>
                        <a:ln w="28575" cap="flat" cmpd="sng">
                          <a:noFill/>
                          <a:prstDash val="solid"/>
                          <a:headEnd type="none" w="med" len="med"/>
                          <a:tailEnd type="none" w="med" len="med"/>
                        </a:ln>
                      </wps:spPr>
                      <wps:bodyPr upright="1"/>
                    </wps:wsp>
                  </a:graphicData>
                </a:graphic>
              </wp:anchor>
            </w:drawing>
          </mc:Choice>
          <mc:Fallback>
            <w:pict>
              <v:line id="_x0000_s1026" o:spid="_x0000_s1026" o:spt="20" style="position:absolute;left:0pt;margin-left:1.25pt;margin-top:67.65pt;height:0pt;width:442.2pt;rotation:11796480f;z-index:251660288;mso-width-relative:page;mso-height-relative:page;" filled="f" stroked="f" coordsize="21600,21600" o:gfxdata="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OFFX1wAAAAkBAAAPAAAAAAAAAAEAIAAAACIAAABkcnMvZG93bnJldi54bWxQSwECFAAUAAAA&#10;CACHTuJAyvdpru8BAADLAwAADgAAAAAAAAABACAAAAAmAQAAZHJzL2Uyb0RvYy54bWxQSwUGAAAA&#10;AAYABgBZAQAAhwUAAAAA&#10;">
                <v:fill on="f" focussize="0,0"/>
                <v:stroke on="f" weight="2.25pt"/>
                <v:imagedata o:title=""/>
                <o:lock v:ext="edit" aspectratio="f"/>
              </v:line>
            </w:pict>
          </mc:Fallback>
        </mc:AlternateContent>
      </w:r>
      <w:r>
        <w:rPr>
          <w:rFonts w:ascii="Calibri" w:hAnsi="Calibri" w:eastAsia="宋体" w:cs="黑体"/>
          <w:color w:val="FFFFFF" w:themeColor="background1"/>
          <w:sz w:val="32"/>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1003935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rot="10800000">
                          <a:off x="0" y="0"/>
                          <a:ext cx="5615940" cy="0"/>
                        </a:xfrm>
                        <a:prstGeom prst="line">
                          <a:avLst/>
                        </a:prstGeom>
                        <a:ln w="28575" cap="flat" cmpd="sng">
                          <a:no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79.05pt;height:0pt;width:442.2pt;rotation:11796480f;z-index:251659264;mso-width-relative:page;mso-height-relative:page;" filled="f" stroked="f" coordsize="21600,21600" o:gfxdata="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6mJvY1wAAAAkBAAAPAAAAAAAAAAEAIAAAACIAAABkcnMvZG93bnJldi54bWxQSwECFAAUAAAA&#10;CACHTuJAhkaTne8BAADLAwAADgAAAAAAAAABACAAAAAmAQAAZHJzL2Uyb0RvYy54bWxQSwUGAAAA&#10;AAYABgBZAQAAhwUAAAAA&#10;">
                <v:fill on="f" focussize="0,0"/>
                <v:stroke on="f" weight="2.25pt"/>
                <v:imagedata o:title=""/>
                <o:lock v:ext="edit" aspectratio="f"/>
              </v:line>
            </w:pict>
          </mc:Fallback>
        </mc:AlternateContent>
      </w:r>
      <w:r>
        <w:rPr>
          <w:rFonts w:hint="eastAsia" w:ascii="方正小标宋简体" w:hAnsi="方正小标宋简体" w:eastAsia="方正小标宋简体" w:cs="方正小标宋简体"/>
          <w:color w:val="FFFFFF" w:themeColor="background1"/>
          <w:spacing w:val="-23"/>
          <w:w w:val="70"/>
          <w:sz w:val="96"/>
          <w:szCs w:val="96"/>
          <w14:textFill>
            <w14:solidFill>
              <w14:schemeClr w14:val="bg1"/>
            </w14:solidFill>
          </w14:textFill>
        </w:rPr>
        <w:t>固原市原州区农业农村局</w:t>
      </w:r>
    </w:p>
    <w:p w14:paraId="38684D64">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2024年贷款贴息结算项目实施方案</w:t>
      </w:r>
    </w:p>
    <w:p w14:paraId="7D261670">
      <w:pPr>
        <w:widowControl/>
        <w:spacing w:before="312" w:beforeLines="100" w:line="560" w:lineRule="exact"/>
        <w:ind w:firstLine="640" w:firstLineChars="200"/>
        <w:rPr>
          <w:rFonts w:ascii="仿宋_GB2312" w:hAnsi="仿宋_GB2312" w:eastAsia="仿宋_GB2312" w:cs="仿宋_GB2312"/>
          <w:color w:val="000000"/>
          <w:sz w:val="32"/>
          <w:szCs w:val="32"/>
        </w:rPr>
      </w:pPr>
      <w:r>
        <w:rPr>
          <w:rFonts w:hint="eastAsia" w:ascii="仿宋_GB2312" w:hAnsi="Calibri" w:eastAsia="仿宋_GB2312" w:cs="仿宋_GB2312"/>
          <w:color w:val="000000"/>
          <w:sz w:val="32"/>
          <w:szCs w:val="32"/>
        </w:rPr>
        <w:t>为全面贯彻落实</w:t>
      </w:r>
      <w:r>
        <w:rPr>
          <w:rFonts w:hint="eastAsia" w:ascii="仿宋_GB2312" w:hAnsi="Times New Roman" w:eastAsia="仿宋_GB2312" w:cs="仿宋_GB2312"/>
          <w:color w:val="000000"/>
          <w:sz w:val="32"/>
          <w:szCs w:val="32"/>
        </w:rPr>
        <w:t>《自治区农业农村厅 财政厅关于印发</w:t>
      </w:r>
      <w:r>
        <w:rPr>
          <w:rFonts w:hint="eastAsia" w:ascii="仿宋_GB2312" w:hAnsi="仿宋_GB2312" w:eastAsia="仿宋_GB2312" w:cs="仿宋_GB2312"/>
          <w:color w:val="000000"/>
          <w:sz w:val="32"/>
          <w:szCs w:val="32"/>
        </w:rPr>
        <w:t>〈宁夏回族自治区现代设施农业建设贷款贴息专项工作方案〉</w:t>
      </w:r>
      <w:r>
        <w:rPr>
          <w:rFonts w:hint="eastAsia" w:ascii="仿宋_GB2312" w:hAnsi="Times New Roman" w:eastAsia="仿宋_GB2312" w:cs="仿宋_GB2312"/>
          <w:color w:val="000000"/>
          <w:sz w:val="32"/>
          <w:szCs w:val="32"/>
        </w:rPr>
        <w:t>的通知》(</w:t>
      </w:r>
      <w:r>
        <w:rPr>
          <w:rFonts w:ascii="仿宋_GB2312" w:hAnsi="宋体" w:eastAsia="仿宋_GB2312" w:cs="仿宋_GB2312"/>
          <w:color w:val="000000"/>
          <w:kern w:val="0"/>
          <w:sz w:val="32"/>
          <w:szCs w:val="32"/>
          <w:lang w:bidi="ar"/>
        </w:rPr>
        <w:t>宁农</w:t>
      </w:r>
      <w:r>
        <w:rPr>
          <w:rFonts w:hint="eastAsia" w:ascii="仿宋_GB2312" w:hAnsi="仿宋_GB2312" w:eastAsia="仿宋_GB2312" w:cs="仿宋_GB2312"/>
          <w:color w:val="000000"/>
          <w:sz w:val="32"/>
          <w:szCs w:val="32"/>
        </w:rPr>
        <w:t>（计）发〔</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号)</w:t>
      </w:r>
      <w:r>
        <w:rPr>
          <w:rFonts w:hint="eastAsia" w:ascii="Times New Roman" w:hAnsi="Times New Roman" w:eastAsia="仿宋_GB2312" w:cs="Times New Roman"/>
          <w:sz w:val="32"/>
          <w:szCs w:val="32"/>
        </w:rPr>
        <w:t>精神</w:t>
      </w:r>
      <w:r>
        <w:rPr>
          <w:rFonts w:hint="eastAsia" w:ascii="仿宋_GB2312" w:hAnsi="仿宋_GB2312" w:eastAsia="仿宋_GB2312" w:cs="仿宋_GB2312"/>
          <w:color w:val="000000"/>
          <w:sz w:val="32"/>
          <w:szCs w:val="32"/>
        </w:rPr>
        <w:t>，</w:t>
      </w:r>
      <w:r>
        <w:rPr>
          <w:rFonts w:ascii="仿宋_GB2312" w:hAnsi="宋体" w:eastAsia="仿宋_GB2312" w:cs="仿宋_GB2312"/>
          <w:color w:val="000000"/>
          <w:kern w:val="0"/>
          <w:sz w:val="32"/>
          <w:szCs w:val="32"/>
          <w:lang w:bidi="ar"/>
        </w:rPr>
        <w:t>撬动更多金融和社会资本投入现代设施农业</w:t>
      </w:r>
      <w:r>
        <w:rPr>
          <w:rFonts w:hint="eastAsia" w:ascii="仿宋_GB2312" w:hAnsi="Calibri" w:eastAsia="仿宋_GB2312" w:cs="仿宋_GB2312"/>
          <w:color w:val="000000"/>
          <w:sz w:val="32"/>
          <w:szCs w:val="32"/>
        </w:rPr>
        <w:t>建设，促进现代设施农业高质量发展，</w:t>
      </w:r>
      <w:r>
        <w:rPr>
          <w:rFonts w:hint="eastAsia" w:ascii="仿宋_GB2312" w:hAnsi="仿宋_GB2312" w:eastAsia="仿宋_GB2312" w:cs="仿宋_GB2312"/>
          <w:color w:val="000000"/>
          <w:sz w:val="32"/>
          <w:szCs w:val="32"/>
        </w:rPr>
        <w:t>结合原州区工作实际，联合区财政局制定了《原州区2023年度现代设施农业建设贷款贴息工作方案》，并对2023年申报的建设主体提交的相关资料进行审核，确定5家建设主体，涉及贴息资金2万元。现根据自治区贷款贴息资金结算要求，制定本方案。</w:t>
      </w:r>
    </w:p>
    <w:p w14:paraId="792F7E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宋体" w:hAnsi="宋体" w:eastAsia="宋体" w:cs="Times New Roman"/>
          <w:kern w:val="0"/>
          <w:sz w:val="32"/>
          <w:szCs w:val="32"/>
        </w:rPr>
      </w:pPr>
      <w:r>
        <w:rPr>
          <w:rFonts w:ascii="黑体" w:hAnsi="宋体" w:eastAsia="黑体" w:cs="黑体"/>
          <w:color w:val="000000"/>
          <w:kern w:val="0"/>
          <w:sz w:val="32"/>
          <w:szCs w:val="32"/>
        </w:rPr>
        <w:t>一、总体要求</w:t>
      </w:r>
    </w:p>
    <w:p w14:paraId="2E1E1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宋体" w:cs="Times New Roman"/>
          <w:kern w:val="0"/>
          <w:sz w:val="32"/>
          <w:szCs w:val="32"/>
        </w:rPr>
      </w:pPr>
      <w:r>
        <w:rPr>
          <w:rFonts w:ascii="楷体_GB2312" w:hAnsi="宋体" w:eastAsia="楷体_GB2312" w:cs="楷体_GB2312"/>
          <w:b/>
          <w:bCs/>
          <w:color w:val="000000"/>
          <w:kern w:val="0"/>
          <w:sz w:val="32"/>
          <w:szCs w:val="32"/>
        </w:rPr>
        <w:t>（一）指导思想</w:t>
      </w:r>
    </w:p>
    <w:p w14:paraId="52A433EE">
      <w:pPr>
        <w:widowControl/>
        <w:spacing w:line="560" w:lineRule="exact"/>
        <w:ind w:firstLine="640" w:firstLineChars="20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坚持以习近平新时代中国特色社会主义思想为指导，深入</w:t>
      </w:r>
      <w:r>
        <w:rPr>
          <w:rFonts w:hint="eastAsia" w:ascii="仿宋_GB2312" w:hAnsi="宋体" w:eastAsia="仿宋_GB2312" w:cs="仿宋_GB2312"/>
          <w:color w:val="000000"/>
          <w:kern w:val="0"/>
          <w:sz w:val="32"/>
          <w:szCs w:val="32"/>
          <w:lang w:bidi="ar"/>
        </w:rPr>
        <w:t>贯彻落实习近平总书记视察宁夏重要讲话指示批示精神，牢固树立大食物观，以保障粮食和重要农产品稳产丰产、构建多元化食物供给体系为目标，坚持布局优化和结构升级并重、增量发展与存量改造并行、规模扩大与科技支撑并举，强化政府部门、金融机构、实施企业多主体协同，鼓励金融和社会资本加大对现代设施农业建设的投入，为推动我区农业农村高质量发展提供有力支撑。</w:t>
      </w:r>
    </w:p>
    <w:p w14:paraId="00690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宋体" w:hAnsi="宋体" w:eastAsia="宋体" w:cs="Times New Roman"/>
          <w:kern w:val="0"/>
          <w:sz w:val="32"/>
          <w:szCs w:val="32"/>
        </w:rPr>
      </w:pPr>
      <w:r>
        <w:rPr>
          <w:rFonts w:ascii="楷体_GB2312" w:hAnsi="宋体" w:eastAsia="楷体_GB2312" w:cs="楷体_GB2312"/>
          <w:b/>
          <w:bCs/>
          <w:color w:val="000000"/>
          <w:kern w:val="0"/>
          <w:sz w:val="32"/>
          <w:szCs w:val="32"/>
        </w:rPr>
        <w:t>（二）基本原则</w:t>
      </w:r>
    </w:p>
    <w:p w14:paraId="5930F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1.坚持政策引导，撬动多元投入。</w:t>
      </w:r>
      <w:r>
        <w:rPr>
          <w:rFonts w:hint="eastAsia" w:ascii="仿宋_GB2312" w:hAnsi="仿宋_GB2312" w:eastAsia="仿宋_GB2312" w:cs="仿宋_GB2312"/>
          <w:color w:val="000000"/>
          <w:kern w:val="0"/>
          <w:sz w:val="32"/>
          <w:szCs w:val="32"/>
        </w:rPr>
        <w:t>采取“地方补贴、中央补助”的方式，开展现代设施农业建设贷款贴息工作，充分发挥贴息政策在激励、引导、扶持等方面的作用，鼓励各类农业经营主体参与现代设施农业建设，撬动更多金融和社会资本投向现代设施农业建设。</w:t>
      </w:r>
    </w:p>
    <w:p w14:paraId="4686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2.坚持科技支撑，促进资源节约。</w:t>
      </w:r>
      <w:r>
        <w:rPr>
          <w:rFonts w:hint="eastAsia" w:ascii="仿宋_GB2312" w:hAnsi="仿宋_GB2312" w:eastAsia="仿宋_GB2312" w:cs="仿宋_GB2312"/>
          <w:color w:val="000000"/>
          <w:kern w:val="0"/>
          <w:sz w:val="32"/>
          <w:szCs w:val="32"/>
        </w:rPr>
        <w:t>强化科技创新在现代设施农业发展中的重要支撑作用，聚焦短板弱项，突出节本增效，不断提升现代设施农业劳动生产率、土地产出率和资源利用率，促进各种资源节约利用。</w:t>
      </w:r>
    </w:p>
    <w:p w14:paraId="2E921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3.坚持统筹兼顾，有效防范风险。</w:t>
      </w:r>
      <w:r>
        <w:rPr>
          <w:rFonts w:hint="eastAsia" w:ascii="仿宋_GB2312" w:hAnsi="仿宋_GB2312" w:eastAsia="仿宋_GB2312" w:cs="仿宋_GB2312"/>
          <w:color w:val="000000"/>
          <w:kern w:val="0"/>
          <w:sz w:val="32"/>
          <w:szCs w:val="32"/>
        </w:rPr>
        <w:t>综合考虑农业资源禀赋、基础设施条件、产业发展水平和金融服务能力，压实项目实施主体、金融机构、部门监管机构等各方责任，防范套利风险和资金空转。</w:t>
      </w:r>
    </w:p>
    <w:p w14:paraId="36E12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宋体" w:hAnsi="宋体" w:eastAsia="宋体" w:cs="Times New Roman"/>
          <w:kern w:val="0"/>
          <w:sz w:val="32"/>
          <w:szCs w:val="32"/>
        </w:rPr>
      </w:pPr>
      <w:r>
        <w:rPr>
          <w:rFonts w:ascii="黑体" w:hAnsi="宋体" w:eastAsia="黑体" w:cs="黑体"/>
          <w:color w:val="000000"/>
          <w:kern w:val="0"/>
          <w:sz w:val="32"/>
          <w:szCs w:val="32"/>
        </w:rPr>
        <w:t>二、</w:t>
      </w:r>
      <w:r>
        <w:rPr>
          <w:rFonts w:hint="eastAsia" w:ascii="黑体" w:hAnsi="宋体" w:eastAsia="黑体" w:cs="黑体"/>
          <w:color w:val="000000"/>
          <w:kern w:val="0"/>
          <w:sz w:val="32"/>
          <w:szCs w:val="32"/>
        </w:rPr>
        <w:t>2023年现代设施农业贷款贴息</w:t>
      </w:r>
      <w:r>
        <w:rPr>
          <w:rFonts w:ascii="黑体" w:hAnsi="宋体" w:eastAsia="黑体" w:cs="黑体"/>
          <w:color w:val="000000"/>
          <w:kern w:val="0"/>
          <w:sz w:val="32"/>
          <w:szCs w:val="32"/>
        </w:rPr>
        <w:t>主要内容</w:t>
      </w:r>
    </w:p>
    <w:p w14:paraId="75D670C5">
      <w:pPr>
        <w:overflowPunct w:val="0"/>
        <w:spacing w:line="560" w:lineRule="exact"/>
        <w:ind w:firstLine="643" w:firstLineChars="200"/>
        <w:rPr>
          <w:rFonts w:ascii="楷体_GB2312" w:hAnsi="黑体" w:eastAsia="楷体_GB2312" w:cs="黑体"/>
          <w:b/>
          <w:sz w:val="32"/>
          <w:szCs w:val="32"/>
        </w:rPr>
      </w:pPr>
      <w:r>
        <w:rPr>
          <w:rFonts w:hint="eastAsia" w:ascii="楷体_GB2312" w:hAnsi="黑体" w:eastAsia="楷体_GB2312" w:cs="黑体"/>
          <w:b/>
          <w:sz w:val="32"/>
          <w:szCs w:val="32"/>
        </w:rPr>
        <w:t>（一）贴息对象。</w:t>
      </w:r>
    </w:p>
    <w:p w14:paraId="3EB11DDE">
      <w:pPr>
        <w:spacing w:line="560" w:lineRule="exact"/>
        <w:ind w:firstLine="640" w:firstLineChars="200"/>
        <w:rPr>
          <w:rFonts w:ascii="仿宋_GB2312" w:hAnsi="Times New Roman" w:eastAsia="仿宋_GB2312" w:cs="仿宋_GB2312"/>
          <w:color w:val="000000"/>
          <w:sz w:val="32"/>
          <w:szCs w:val="32"/>
        </w:rPr>
      </w:pPr>
      <w:r>
        <w:rPr>
          <w:rFonts w:ascii="仿宋_GB2312" w:hAnsi="宋体" w:eastAsia="仿宋_GB2312" w:cs="仿宋_GB2312"/>
          <w:color w:val="000000"/>
          <w:kern w:val="0"/>
          <w:sz w:val="32"/>
          <w:szCs w:val="32"/>
          <w:lang w:bidi="ar"/>
        </w:rPr>
        <w:t>贴息对象</w:t>
      </w:r>
      <w:r>
        <w:rPr>
          <w:rFonts w:hint="eastAsia" w:ascii="仿宋_GB2312" w:hAnsi="宋体" w:eastAsia="仿宋_GB2312" w:cs="仿宋_GB2312"/>
          <w:color w:val="000000"/>
          <w:kern w:val="0"/>
          <w:sz w:val="32"/>
          <w:szCs w:val="32"/>
          <w:lang w:bidi="ar"/>
        </w:rPr>
        <w:t>为原州区境内</w:t>
      </w:r>
      <w:r>
        <w:rPr>
          <w:rFonts w:ascii="仿宋_GB2312" w:hAnsi="宋体" w:eastAsia="仿宋_GB2312" w:cs="仿宋_GB2312"/>
          <w:color w:val="000000"/>
          <w:kern w:val="0"/>
          <w:sz w:val="32"/>
          <w:szCs w:val="32"/>
          <w:lang w:bidi="ar"/>
        </w:rPr>
        <w:t>农户、家庭农场、农民合作</w:t>
      </w:r>
      <w:r>
        <w:rPr>
          <w:rFonts w:hint="eastAsia" w:ascii="仿宋_GB2312" w:hAnsi="Times New Roman" w:eastAsia="仿宋_GB2312" w:cs="仿宋_GB2312"/>
          <w:color w:val="000000"/>
          <w:sz w:val="32"/>
          <w:szCs w:val="32"/>
        </w:rPr>
        <w:t>社、农业企业以及农业社会化服务组织、农村集体经济组织等各类农业经营主体（以下简称“建设主体”）。</w:t>
      </w:r>
    </w:p>
    <w:p w14:paraId="2BD3A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建设主体还应满足以下条件：</w:t>
      </w:r>
    </w:p>
    <w:p w14:paraId="70E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1.贴息项目已纳入农业农村基础设施融资项目库；</w:t>
      </w:r>
    </w:p>
    <w:p w14:paraId="72EC3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2.贴息贷款应与银行正式签订贷款合同且贷款资金已到位；</w:t>
      </w:r>
    </w:p>
    <w:p w14:paraId="6C571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3.同笔贴息贷款未享受过其他财政贴息政策；</w:t>
      </w:r>
    </w:p>
    <w:p w14:paraId="6462E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4.近三年无不良信用记录、无重大违法违规记录，能够正常</w:t>
      </w:r>
    </w:p>
    <w:p w14:paraId="4198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生产经营、按时清偿贷款本息；</w:t>
      </w:r>
    </w:p>
    <w:p w14:paraId="069E8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5.贴息项目补助期内未发生重大及以上安全责任、环境污染</w:t>
      </w:r>
    </w:p>
    <w:p w14:paraId="09CA0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等事故。</w:t>
      </w:r>
    </w:p>
    <w:p w14:paraId="26392CB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贴息范围。</w:t>
      </w:r>
    </w:p>
    <w:p w14:paraId="7A7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仿宋_GB2312"/>
          <w:color w:val="000000"/>
          <w:kern w:val="0"/>
          <w:sz w:val="32"/>
          <w:szCs w:val="31"/>
        </w:rPr>
      </w:pPr>
      <w:r>
        <w:rPr>
          <w:rFonts w:hint="eastAsia" w:ascii="仿宋_GB2312" w:hAnsi="宋体" w:eastAsia="仿宋_GB2312" w:cs="仿宋_GB2312"/>
          <w:color w:val="000000"/>
          <w:kern w:val="0"/>
          <w:sz w:val="32"/>
          <w:szCs w:val="31"/>
        </w:rPr>
        <w:t>建设主体在自治区范围内开展符合《全国现代设施农业建设规划（2023-2030年）》要求的设施种植、设施畜牧、设施渔业等领域新建或改扩建项目从银行获得的贷款，不包括日常经营周转性贷款。贷款资金重点用于现代设施农业生产经营所必需的基础设施、固定资产设备投资等，具体内容如下：</w:t>
      </w:r>
    </w:p>
    <w:p w14:paraId="5A258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宋体" w:hAnsi="宋体" w:eastAsia="宋体" w:cs="Times New Roman"/>
          <w:kern w:val="0"/>
          <w:sz w:val="32"/>
        </w:rPr>
      </w:pPr>
      <w:r>
        <w:rPr>
          <w:rFonts w:ascii="Times New Roman" w:hAnsi="Times New Roman" w:eastAsia="宋体" w:cs="Times New Roman"/>
          <w:color w:val="000000"/>
          <w:kern w:val="0"/>
          <w:sz w:val="32"/>
          <w:szCs w:val="31"/>
        </w:rPr>
        <w:t>1.</w:t>
      </w:r>
      <w:r>
        <w:rPr>
          <w:rFonts w:ascii="仿宋_GB2312" w:hAnsi="宋体" w:eastAsia="仿宋_GB2312" w:cs="仿宋_GB2312"/>
          <w:b/>
          <w:bCs/>
          <w:color w:val="000000"/>
          <w:kern w:val="0"/>
          <w:sz w:val="32"/>
          <w:szCs w:val="31"/>
        </w:rPr>
        <w:t>设施种植方面。</w:t>
      </w:r>
      <w:r>
        <w:rPr>
          <w:rFonts w:hint="eastAsia" w:ascii="仿宋_GB2312" w:hAnsi="宋体" w:eastAsia="仿宋_GB2312" w:cs="仿宋_GB2312"/>
          <w:color w:val="000000"/>
          <w:kern w:val="0"/>
          <w:sz w:val="32"/>
          <w:szCs w:val="31"/>
        </w:rPr>
        <w:t>主要用于建设现代设施种植标准化园区，完善园区骨干排灌、水源处理等配套设施，建设日光温室、塑料大棚等标准化温室设施，配套无土栽培装置、低成本水处理、水肥一体化等辅助生产装备，配套产地预冷设施、分级包装车间、低温配送中心等生产配套设施，配套自动通风、电动卷帘、小型打药机与智能调控系统等信息化与智能作业装备；配套实施现代设施种植业改造提升，加快老旧低效温室设施结构改造，建设新型复合保温墙体、装配式热浸镀锌钢架结构等；建设播种出苗车间、育秧温室大棚、育秧设施设备，建设集约化育苗生产设施、自动化育苗装备、温室大棚环境精准调控装备。</w:t>
      </w:r>
    </w:p>
    <w:p w14:paraId="6C36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宋体" w:hAnsi="宋体" w:eastAsia="宋体" w:cs="Times New Roman"/>
          <w:kern w:val="0"/>
          <w:sz w:val="32"/>
        </w:rPr>
      </w:pPr>
      <w:r>
        <w:rPr>
          <w:rFonts w:ascii="Times New Roman" w:hAnsi="Times New Roman" w:eastAsia="宋体" w:cs="Times New Roman"/>
          <w:color w:val="000000"/>
          <w:kern w:val="0"/>
          <w:sz w:val="32"/>
          <w:szCs w:val="31"/>
        </w:rPr>
        <w:t>2.</w:t>
      </w:r>
      <w:r>
        <w:rPr>
          <w:rFonts w:ascii="仿宋_GB2312" w:hAnsi="宋体" w:eastAsia="仿宋_GB2312" w:cs="仿宋_GB2312"/>
          <w:b/>
          <w:bCs/>
          <w:color w:val="000000"/>
          <w:kern w:val="0"/>
          <w:sz w:val="32"/>
          <w:szCs w:val="31"/>
        </w:rPr>
        <w:t>设施畜牧方面。</w:t>
      </w:r>
      <w:r>
        <w:rPr>
          <w:rFonts w:hint="eastAsia" w:ascii="仿宋_GB2312" w:hAnsi="宋体" w:eastAsia="仿宋_GB2312" w:cs="仿宋_GB2312"/>
          <w:color w:val="000000"/>
          <w:kern w:val="0"/>
          <w:sz w:val="32"/>
          <w:szCs w:val="31"/>
        </w:rPr>
        <w:t>主要用于新建或改扩建标准化养殖圈舍；支持数字化、智能化、绿色化改造升级，配备饲料收贮与加工、精准饲喂、疫病防控、粪污还田、废弃物无害化处理等设备和智能化养殖管理系统等。</w:t>
      </w:r>
    </w:p>
    <w:p w14:paraId="7E639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仿宋_GB2312"/>
          <w:color w:val="000000"/>
          <w:kern w:val="0"/>
          <w:sz w:val="32"/>
          <w:szCs w:val="31"/>
        </w:rPr>
      </w:pPr>
      <w:r>
        <w:rPr>
          <w:rFonts w:ascii="Times New Roman" w:hAnsi="Times New Roman" w:eastAsia="宋体" w:cs="Times New Roman"/>
          <w:color w:val="000000"/>
          <w:kern w:val="0"/>
          <w:sz w:val="32"/>
          <w:szCs w:val="31"/>
        </w:rPr>
        <w:t>3.</w:t>
      </w:r>
      <w:r>
        <w:rPr>
          <w:rFonts w:hint="eastAsia" w:ascii="仿宋_GB2312" w:hAnsi="宋体" w:eastAsia="仿宋_GB2312" w:cs="仿宋_GB2312"/>
          <w:b/>
          <w:bCs/>
          <w:color w:val="000000"/>
          <w:kern w:val="0"/>
          <w:sz w:val="32"/>
          <w:szCs w:val="31"/>
        </w:rPr>
        <w:t>设施渔业方面。</w:t>
      </w:r>
      <w:r>
        <w:rPr>
          <w:rFonts w:hint="eastAsia" w:ascii="仿宋_GB2312" w:hAnsi="宋体" w:eastAsia="仿宋_GB2312" w:cs="仿宋_GB2312"/>
          <w:color w:val="000000"/>
          <w:kern w:val="0"/>
          <w:sz w:val="32"/>
          <w:szCs w:val="31"/>
        </w:rPr>
        <w:t>主要用于新建或改扩建工厂化养殖车间；已建设施渔业提档升级；养殖池塘标准化改造；盐碱地宜渔资源开发建设；陆基生态综合种养设施建设等。</w:t>
      </w:r>
    </w:p>
    <w:p w14:paraId="4D505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宋体" w:hAnsi="宋体" w:eastAsia="宋体" w:cs="Times New Roman"/>
          <w:kern w:val="0"/>
          <w:sz w:val="32"/>
          <w:szCs w:val="32"/>
        </w:rPr>
      </w:pPr>
      <w:r>
        <w:rPr>
          <w:rFonts w:ascii="Times New Roman" w:hAnsi="Times New Roman" w:eastAsia="宋体" w:cs="Times New Roman"/>
          <w:color w:val="000000"/>
          <w:kern w:val="0"/>
          <w:sz w:val="32"/>
          <w:szCs w:val="31"/>
        </w:rPr>
        <w:t>4.</w:t>
      </w:r>
      <w:r>
        <w:rPr>
          <w:rFonts w:hint="eastAsia" w:ascii="仿宋_GB2312" w:hAnsi="宋体" w:eastAsia="仿宋_GB2312" w:cs="仿宋_GB2312"/>
          <w:b/>
          <w:bCs/>
          <w:color w:val="000000"/>
          <w:kern w:val="0"/>
          <w:sz w:val="32"/>
          <w:szCs w:val="31"/>
        </w:rPr>
        <w:t>冷链物流及烘干方面。</w:t>
      </w:r>
      <w:r>
        <w:rPr>
          <w:rFonts w:hint="eastAsia" w:ascii="仿宋_GB2312" w:hAnsi="宋体" w:eastAsia="仿宋_GB2312" w:cs="仿宋_GB2312"/>
          <w:color w:val="000000"/>
          <w:kern w:val="0"/>
          <w:sz w:val="32"/>
          <w:szCs w:val="31"/>
        </w:rPr>
        <w:t>主要用于建设预冷冷却设施设备、冻结</w:t>
      </w:r>
      <w:r>
        <w:rPr>
          <w:rFonts w:hint="eastAsia" w:ascii="仿宋_GB2312" w:hAnsi="宋体" w:eastAsia="仿宋_GB2312" w:cs="仿宋_GB2312"/>
          <w:color w:val="000000"/>
          <w:kern w:val="0"/>
          <w:sz w:val="32"/>
          <w:szCs w:val="32"/>
        </w:rPr>
        <w:t>设施设备、机械冷藏库、气调冷藏库及其他配套设施设备；建设产地冷链集配中心；建设标准化粮食烘干中心（点）、配套烘干设施装备等。</w:t>
      </w:r>
    </w:p>
    <w:p w14:paraId="1DC70FEA">
      <w:pPr>
        <w:spacing w:line="560" w:lineRule="exact"/>
        <w:ind w:firstLine="643" w:firstLineChars="200"/>
        <w:rPr>
          <w:rFonts w:ascii="楷体_GB2312" w:hAnsi="楷体_GB2312" w:eastAsia="楷体_GB2312" w:cs="楷体_GB2312"/>
          <w:b/>
          <w:bCs/>
          <w:color w:val="000000"/>
          <w:kern w:val="0"/>
          <w:sz w:val="32"/>
          <w:szCs w:val="32"/>
          <w:lang w:bidi="ar"/>
        </w:rPr>
      </w:pPr>
      <w:r>
        <w:rPr>
          <w:rFonts w:hint="eastAsia" w:ascii="楷体_GB2312" w:hAnsi="楷体_GB2312" w:eastAsia="楷体_GB2312" w:cs="楷体_GB2312"/>
          <w:b/>
          <w:bCs/>
          <w:color w:val="000000"/>
          <w:kern w:val="0"/>
          <w:sz w:val="32"/>
          <w:szCs w:val="32"/>
          <w:lang w:bidi="ar"/>
        </w:rPr>
        <w:t>（三）贴息期限。</w:t>
      </w:r>
    </w:p>
    <w:p w14:paraId="78BA54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自2023年1月1日起从银行获得的贷款，</w:t>
      </w:r>
      <w:r>
        <w:rPr>
          <w:rFonts w:hint="eastAsia" w:ascii="仿宋_GB2312" w:hAnsi="仿宋_GB2312" w:eastAsia="仿宋_GB2312" w:cs="仿宋_GB2312"/>
          <w:color w:val="000000"/>
          <w:sz w:val="32"/>
          <w:szCs w:val="32"/>
        </w:rPr>
        <w:t>且投资符合贴息范围的现代设施农业建设贷款按年度给予贴息，贷款使用时间不足一年的按实际用款时间计算。对同一建设主体的同一笔贷款贴息年限最长不得超过5年。</w:t>
      </w:r>
    </w:p>
    <w:p w14:paraId="1F3C5030">
      <w:pPr>
        <w:spacing w:line="560" w:lineRule="exact"/>
        <w:ind w:firstLine="643" w:firstLineChars="200"/>
        <w:rPr>
          <w:rFonts w:ascii="楷体_GB2312" w:hAnsi="楷体_GB2312" w:eastAsia="楷体_GB2312" w:cs="楷体_GB2312"/>
          <w:b/>
          <w:bCs/>
          <w:color w:val="000000"/>
          <w:kern w:val="0"/>
          <w:sz w:val="32"/>
          <w:szCs w:val="32"/>
          <w:lang w:bidi="ar"/>
        </w:rPr>
      </w:pPr>
      <w:r>
        <w:rPr>
          <w:rFonts w:hint="eastAsia" w:ascii="楷体_GB2312" w:hAnsi="楷体_GB2312" w:eastAsia="楷体_GB2312" w:cs="楷体_GB2312"/>
          <w:b/>
          <w:bCs/>
          <w:color w:val="000000"/>
          <w:kern w:val="0"/>
          <w:sz w:val="32"/>
          <w:szCs w:val="32"/>
          <w:lang w:bidi="ar"/>
        </w:rPr>
        <w:t>（四）贴息标准。</w:t>
      </w:r>
    </w:p>
    <w:p w14:paraId="67DD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按照“双限控制”原则，即单个建设主体当年获得的贷款贴息比例不得高于中国人民银行公布的同期同档次贷款市场报价利率（</w:t>
      </w:r>
      <w:r>
        <w:rPr>
          <w:rFonts w:ascii="仿宋_GB2312" w:hAnsi="仿宋_GB2312" w:eastAsia="仿宋_GB2312" w:cs="仿宋_GB2312"/>
          <w:color w:val="000000"/>
          <w:kern w:val="0"/>
          <w:sz w:val="32"/>
          <w:szCs w:val="32"/>
        </w:rPr>
        <w:t>LPR</w:t>
      </w:r>
      <w:r>
        <w:rPr>
          <w:rFonts w:hint="eastAsia" w:ascii="仿宋_GB2312" w:hAnsi="仿宋_GB2312" w:eastAsia="仿宋_GB2312" w:cs="仿宋_GB2312"/>
          <w:color w:val="000000"/>
          <w:kern w:val="0"/>
          <w:sz w:val="32"/>
          <w:szCs w:val="32"/>
        </w:rPr>
        <w:t>）的</w:t>
      </w:r>
      <w:r>
        <w:rPr>
          <w:rFonts w:ascii="仿宋_GB2312" w:hAnsi="仿宋_GB2312" w:eastAsia="仿宋_GB2312" w:cs="仿宋_GB2312"/>
          <w:color w:val="000000"/>
          <w:kern w:val="0"/>
          <w:sz w:val="32"/>
          <w:szCs w:val="32"/>
        </w:rPr>
        <w:t>70%</w:t>
      </w:r>
      <w:r>
        <w:rPr>
          <w:rFonts w:hint="eastAsia" w:ascii="仿宋_GB2312" w:hAnsi="仿宋_GB2312" w:eastAsia="仿宋_GB2312" w:cs="仿宋_GB2312"/>
          <w:color w:val="000000"/>
          <w:kern w:val="0"/>
          <w:sz w:val="32"/>
          <w:szCs w:val="32"/>
        </w:rPr>
        <w:t>且不得超过</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，单个建设主体当年获得的贴息资金不得超过</w:t>
      </w:r>
      <w:r>
        <w:rPr>
          <w:rFonts w:ascii="仿宋_GB2312" w:hAnsi="仿宋_GB2312" w:eastAsia="仿宋_GB2312" w:cs="仿宋_GB2312"/>
          <w:color w:val="000000"/>
          <w:kern w:val="0"/>
          <w:sz w:val="32"/>
          <w:szCs w:val="32"/>
        </w:rPr>
        <w:t>200</w:t>
      </w:r>
      <w:r>
        <w:rPr>
          <w:rFonts w:hint="eastAsia" w:ascii="仿宋_GB2312" w:hAnsi="仿宋_GB2312" w:eastAsia="仿宋_GB2312" w:cs="仿宋_GB2312"/>
          <w:color w:val="000000"/>
          <w:kern w:val="0"/>
          <w:sz w:val="32"/>
          <w:szCs w:val="32"/>
        </w:rPr>
        <w:t>万元。同一建设主体不同银行的多笔贷款应将申请贴息总额控制在“双限”额度内，当年享受财政贴息总额不高于该主体当年实际产生且已支付的利息总额。</w:t>
      </w:r>
    </w:p>
    <w:p w14:paraId="278C0E8E">
      <w:pPr>
        <w:spacing w:line="560" w:lineRule="exact"/>
        <w:ind w:firstLine="643" w:firstLineChars="200"/>
        <w:rPr>
          <w:rFonts w:ascii="楷体_GB2312" w:hAnsi="楷体_GB2312" w:eastAsia="楷体_GB2312" w:cs="楷体_GB2312"/>
          <w:b/>
          <w:bCs/>
          <w:color w:val="000000"/>
          <w:kern w:val="0"/>
          <w:sz w:val="32"/>
          <w:szCs w:val="32"/>
          <w:lang w:bidi="ar"/>
        </w:rPr>
      </w:pPr>
      <w:r>
        <w:rPr>
          <w:rFonts w:hint="eastAsia" w:ascii="楷体_GB2312" w:hAnsi="楷体_GB2312" w:eastAsia="楷体_GB2312" w:cs="楷体_GB2312"/>
          <w:b/>
          <w:bCs/>
          <w:color w:val="000000"/>
          <w:kern w:val="0"/>
          <w:sz w:val="32"/>
          <w:szCs w:val="32"/>
          <w:lang w:bidi="ar"/>
        </w:rPr>
        <w:t>（五）承担比例。</w:t>
      </w:r>
    </w:p>
    <w:p w14:paraId="4317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贴息资金由中央、自治区和县（市、区）三级财政负担。中央奖补按照《农业农村部办公厅 财政部办公厅关于支持粮油等重要农产品产能提升有关政策实施工作的通知》（农办计财〔</w:t>
      </w:r>
      <w:r>
        <w:rPr>
          <w:rFonts w:ascii="仿宋_GB2312" w:hAnsi="仿宋_GB2312"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号）有关标准执行。中央奖补差额部分由自治区财政和县（市、区）财政分别按照</w:t>
      </w:r>
      <w:r>
        <w:rPr>
          <w:rFonts w:ascii="仿宋_GB2312" w:hAnsi="仿宋_GB2312" w:eastAsia="仿宋_GB2312" w:cs="仿宋_GB2312"/>
          <w:color w:val="000000"/>
          <w:kern w:val="0"/>
          <w:sz w:val="32"/>
          <w:szCs w:val="32"/>
        </w:rPr>
        <w:t>7:3</w:t>
      </w:r>
      <w:r>
        <w:rPr>
          <w:rFonts w:hint="eastAsia" w:ascii="仿宋_GB2312" w:hAnsi="仿宋_GB2312" w:eastAsia="仿宋_GB2312" w:cs="仿宋_GB2312"/>
          <w:color w:val="000000"/>
          <w:kern w:val="0"/>
          <w:sz w:val="32"/>
          <w:szCs w:val="32"/>
        </w:rPr>
        <w:t>的比例承担。</w:t>
      </w:r>
    </w:p>
    <w:p w14:paraId="6912C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楷体_GB2312" w:hAnsi="楷体_GB2312" w:eastAsia="楷体_GB2312" w:cs="楷体_GB2312"/>
          <w:b/>
          <w:bCs/>
          <w:color w:val="000000"/>
          <w:kern w:val="0"/>
          <w:sz w:val="32"/>
          <w:szCs w:val="32"/>
          <w:lang w:bidi="ar"/>
        </w:rPr>
      </w:pPr>
      <w:r>
        <w:rPr>
          <w:rFonts w:hint="eastAsia" w:ascii="楷体_GB2312" w:hAnsi="楷体_GB2312" w:eastAsia="楷体_GB2312" w:cs="楷体_GB2312"/>
          <w:b/>
          <w:bCs/>
          <w:color w:val="000000"/>
          <w:kern w:val="0"/>
          <w:sz w:val="32"/>
          <w:szCs w:val="32"/>
          <w:lang w:bidi="ar"/>
        </w:rPr>
        <w:t>（六）贴息方式。</w:t>
      </w:r>
    </w:p>
    <w:p w14:paraId="112F8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取“先付后补、自主申报、逐级审核、据实结算”贴息方式，建设主体先按期支付银行利息，后凭贷款机构开具的利息支付凭证等相关材料，向区农业农村局提出贴息申请，区农业农村局会同区财政局逐级对申报材料进行审核，审核无误后据实结算贴息资金。</w:t>
      </w:r>
    </w:p>
    <w:p w14:paraId="672FF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楷体_GB2312" w:hAnsi="楷体_GB2312" w:eastAsia="楷体_GB2312" w:cs="楷体_GB2312"/>
          <w:b/>
          <w:bCs/>
          <w:color w:val="000000"/>
          <w:kern w:val="0"/>
          <w:sz w:val="32"/>
          <w:szCs w:val="32"/>
          <w:lang w:bidi="ar"/>
        </w:rPr>
      </w:pPr>
      <w:r>
        <w:rPr>
          <w:rFonts w:hint="eastAsia" w:ascii="楷体_GB2312" w:hAnsi="楷体_GB2312" w:eastAsia="楷体_GB2312" w:cs="楷体_GB2312"/>
          <w:b/>
          <w:bCs/>
          <w:color w:val="000000"/>
          <w:kern w:val="0"/>
          <w:sz w:val="32"/>
          <w:szCs w:val="32"/>
          <w:lang w:bidi="ar"/>
        </w:rPr>
        <w:t>（七）贴息流程。</w:t>
      </w:r>
    </w:p>
    <w:p w14:paraId="3624D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color w:val="000000"/>
          <w:kern w:val="0"/>
          <w:sz w:val="32"/>
          <w:szCs w:val="32"/>
        </w:rPr>
        <w:t>1.项目储备。</w:t>
      </w:r>
      <w:r>
        <w:rPr>
          <w:rFonts w:hint="eastAsia" w:ascii="仿宋_GB2312" w:hAnsi="仿宋_GB2312" w:eastAsia="仿宋_GB2312" w:cs="仿宋_GB2312"/>
          <w:snapToGrid w:val="0"/>
          <w:color w:val="000000"/>
          <w:kern w:val="0"/>
          <w:sz w:val="32"/>
          <w:szCs w:val="32"/>
        </w:rPr>
        <w:t>按照《关于做好现代设施农业建设项目谋划储备的通知》（宁农计发〔2023〕30号）要求，及时发布征集储备融资项目公告，建立项目储备库，实施分类设库、分层储备、分级管理。</w:t>
      </w:r>
    </w:p>
    <w:p w14:paraId="3E37A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2.</w:t>
      </w:r>
      <w:r>
        <w:rPr>
          <w:rFonts w:hint="eastAsia" w:ascii="仿宋_GB2312" w:hAnsi="仿宋_GB2312" w:eastAsia="仿宋_GB2312" w:cs="仿宋_GB2312"/>
          <w:b/>
          <w:snapToGrid w:val="0"/>
          <w:color w:val="000000"/>
          <w:kern w:val="0"/>
          <w:sz w:val="32"/>
          <w:szCs w:val="32"/>
        </w:rPr>
        <w:t>自主申报。</w:t>
      </w:r>
      <w:r>
        <w:rPr>
          <w:rFonts w:hint="eastAsia" w:ascii="仿宋_GB2312" w:hAnsi="仿宋_GB2312" w:eastAsia="仿宋_GB2312" w:cs="仿宋_GB2312"/>
          <w:snapToGrid w:val="0"/>
          <w:color w:val="000000"/>
          <w:kern w:val="0"/>
          <w:sz w:val="32"/>
          <w:szCs w:val="32"/>
        </w:rPr>
        <w:t>建设主体向区农业农村局提交贷款贴息申请表，以及建设主体统一社会信用代码证书（或身份证明）、项目简介、贷款合同、放款凭证、付息凭证、银行出具的贷款用途及付息情况证明、施工或购置合同、</w:t>
      </w:r>
      <w:r>
        <w:rPr>
          <w:rFonts w:ascii="仿宋_GB2312" w:hAnsi="仿宋_GB2312" w:eastAsia="仿宋_GB2312" w:cs="仿宋_GB2312"/>
          <w:snapToGrid w:val="0"/>
          <w:color w:val="000000"/>
          <w:kern w:val="0"/>
          <w:sz w:val="32"/>
          <w:szCs w:val="32"/>
          <w:lang w:bidi="ar"/>
        </w:rPr>
        <w:t>验收报告等相关佐证材料。</w:t>
      </w:r>
      <w:r>
        <w:rPr>
          <w:rFonts w:hint="eastAsia" w:ascii="仿宋_GB2312" w:hAnsi="仿宋_GB2312" w:eastAsia="仿宋_GB2312" w:cs="仿宋_GB2312"/>
          <w:snapToGrid w:val="0"/>
          <w:color w:val="000000"/>
          <w:kern w:val="0"/>
          <w:sz w:val="32"/>
          <w:szCs w:val="32"/>
          <w:lang w:bidi="ar"/>
        </w:rPr>
        <w:t>建设主体对材料的真实性、有效性、完整性负责，并承担相关法律责任。</w:t>
      </w:r>
    </w:p>
    <w:p w14:paraId="777DC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Times New Roman"/>
          <w:kern w:val="0"/>
          <w:sz w:val="32"/>
        </w:rPr>
      </w:pPr>
      <w:r>
        <w:rPr>
          <w:rFonts w:hint="eastAsia" w:ascii="仿宋_GB2312" w:hAnsi="仿宋_GB2312" w:eastAsia="仿宋_GB2312" w:cs="Times New Roman"/>
          <w:b/>
          <w:bCs/>
          <w:color w:val="000000"/>
          <w:kern w:val="0"/>
          <w:sz w:val="32"/>
          <w:szCs w:val="31"/>
        </w:rPr>
        <w:t>3</w:t>
      </w:r>
      <w:r>
        <w:rPr>
          <w:rFonts w:ascii="仿宋_GB2312" w:hAnsi="仿宋_GB2312" w:eastAsia="仿宋_GB2312" w:cs="Times New Roman"/>
          <w:b/>
          <w:bCs/>
          <w:color w:val="000000"/>
          <w:kern w:val="0"/>
          <w:sz w:val="32"/>
          <w:szCs w:val="31"/>
        </w:rPr>
        <w:t>.</w:t>
      </w:r>
      <w:r>
        <w:rPr>
          <w:rFonts w:hint="eastAsia" w:ascii="仿宋_GB2312" w:hAnsi="仿宋_GB2312" w:eastAsia="仿宋_GB2312" w:cs="仿宋_GB2312"/>
          <w:b/>
          <w:bCs/>
          <w:color w:val="000000"/>
          <w:kern w:val="0"/>
          <w:sz w:val="32"/>
          <w:szCs w:val="31"/>
        </w:rPr>
        <w:t>审核内容。</w:t>
      </w:r>
      <w:r>
        <w:rPr>
          <w:rFonts w:hint="eastAsia" w:ascii="仿宋_GB2312" w:hAnsi="仿宋_GB2312" w:eastAsia="仿宋_GB2312" w:cs="仿宋_GB2312"/>
          <w:color w:val="000000"/>
          <w:kern w:val="0"/>
          <w:sz w:val="32"/>
          <w:szCs w:val="31"/>
        </w:rPr>
        <w:t>主要包括以下几个方面：</w:t>
      </w:r>
    </w:p>
    <w:p w14:paraId="309B8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Times New Roman"/>
          <w:kern w:val="0"/>
          <w:sz w:val="32"/>
        </w:rPr>
      </w:pPr>
      <w:r>
        <w:rPr>
          <w:rFonts w:hint="eastAsia" w:ascii="仿宋_GB2312" w:hAnsi="仿宋_GB2312" w:eastAsia="仿宋_GB2312" w:cs="仿宋_GB2312"/>
          <w:b/>
          <w:bCs/>
          <w:color w:val="000000"/>
          <w:kern w:val="0"/>
          <w:sz w:val="32"/>
          <w:szCs w:val="31"/>
        </w:rPr>
        <w:t>（</w:t>
      </w:r>
      <w:r>
        <w:rPr>
          <w:rFonts w:ascii="仿宋_GB2312" w:hAnsi="仿宋_GB2312" w:eastAsia="仿宋_GB2312" w:cs="Times New Roman"/>
          <w:b/>
          <w:bCs/>
          <w:color w:val="000000"/>
          <w:kern w:val="0"/>
          <w:sz w:val="32"/>
          <w:szCs w:val="31"/>
        </w:rPr>
        <w:t>1</w:t>
      </w:r>
      <w:r>
        <w:rPr>
          <w:rFonts w:hint="eastAsia" w:ascii="仿宋_GB2312" w:hAnsi="仿宋_GB2312" w:eastAsia="仿宋_GB2312" w:cs="仿宋_GB2312"/>
          <w:b/>
          <w:bCs/>
          <w:color w:val="000000"/>
          <w:kern w:val="0"/>
          <w:sz w:val="32"/>
          <w:szCs w:val="31"/>
        </w:rPr>
        <w:t>）项目类型。</w:t>
      </w:r>
      <w:r>
        <w:rPr>
          <w:rFonts w:hint="eastAsia" w:ascii="仿宋_GB2312" w:hAnsi="仿宋_GB2312" w:eastAsia="仿宋_GB2312" w:cs="仿宋_GB2312"/>
          <w:color w:val="000000"/>
          <w:kern w:val="0"/>
          <w:sz w:val="32"/>
          <w:szCs w:val="31"/>
        </w:rPr>
        <w:t>项目属于现代设施农业建设项目，符合《全国现代设施农业建设规划（</w:t>
      </w:r>
      <w:r>
        <w:rPr>
          <w:rFonts w:ascii="仿宋_GB2312" w:hAnsi="仿宋_GB2312" w:eastAsia="仿宋_GB2312" w:cs="Times New Roman"/>
          <w:color w:val="000000"/>
          <w:kern w:val="0"/>
          <w:sz w:val="32"/>
          <w:szCs w:val="31"/>
        </w:rPr>
        <w:t>2023</w:t>
      </w:r>
      <w:r>
        <w:rPr>
          <w:rFonts w:hint="eastAsia" w:ascii="仿宋_GB2312" w:hAnsi="仿宋_GB2312" w:eastAsia="仿宋_GB2312" w:cs="仿宋_GB2312"/>
          <w:color w:val="000000"/>
          <w:kern w:val="0"/>
          <w:sz w:val="32"/>
          <w:szCs w:val="31"/>
        </w:rPr>
        <w:t>年</w:t>
      </w:r>
      <w:r>
        <w:rPr>
          <w:rFonts w:ascii="仿宋_GB2312" w:hAnsi="仿宋_GB2312" w:eastAsia="仿宋_GB2312" w:cs="Times New Roman"/>
          <w:color w:val="000000"/>
          <w:kern w:val="0"/>
          <w:sz w:val="32"/>
          <w:szCs w:val="31"/>
        </w:rPr>
        <w:t>-2030</w:t>
      </w:r>
      <w:r>
        <w:rPr>
          <w:rFonts w:hint="eastAsia" w:ascii="仿宋_GB2312" w:hAnsi="仿宋_GB2312" w:eastAsia="仿宋_GB2312" w:cs="仿宋_GB2312"/>
          <w:color w:val="000000"/>
          <w:kern w:val="0"/>
          <w:sz w:val="32"/>
          <w:szCs w:val="31"/>
        </w:rPr>
        <w:t>年）》要求的设施种植、设施畜牧、设施渔业等领域新建或改扩建项目，土地使用、环境保护等相关建设手续齐备，且已录入农业农村基础设施融资项目库。</w:t>
      </w:r>
    </w:p>
    <w:p w14:paraId="58BAC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Times New Roman"/>
          <w:kern w:val="0"/>
          <w:sz w:val="32"/>
        </w:rPr>
      </w:pPr>
      <w:r>
        <w:rPr>
          <w:rFonts w:hint="eastAsia" w:ascii="仿宋_GB2312" w:hAnsi="仿宋_GB2312" w:eastAsia="仿宋_GB2312" w:cs="仿宋_GB2312"/>
          <w:b/>
          <w:bCs/>
          <w:color w:val="000000"/>
          <w:kern w:val="0"/>
          <w:sz w:val="32"/>
          <w:szCs w:val="31"/>
        </w:rPr>
        <w:t>（</w:t>
      </w:r>
      <w:r>
        <w:rPr>
          <w:rFonts w:ascii="仿宋_GB2312" w:hAnsi="仿宋_GB2312" w:eastAsia="仿宋_GB2312" w:cs="Times New Roman"/>
          <w:b/>
          <w:bCs/>
          <w:color w:val="000000"/>
          <w:kern w:val="0"/>
          <w:sz w:val="32"/>
          <w:szCs w:val="31"/>
        </w:rPr>
        <w:t>2</w:t>
      </w:r>
      <w:r>
        <w:rPr>
          <w:rFonts w:hint="eastAsia" w:ascii="仿宋_GB2312" w:hAnsi="仿宋_GB2312" w:eastAsia="仿宋_GB2312" w:cs="仿宋_GB2312"/>
          <w:b/>
          <w:bCs/>
          <w:color w:val="000000"/>
          <w:kern w:val="0"/>
          <w:sz w:val="32"/>
          <w:szCs w:val="31"/>
        </w:rPr>
        <w:t>）贷款种类。</w:t>
      </w:r>
      <w:r>
        <w:rPr>
          <w:rFonts w:hint="eastAsia" w:ascii="仿宋_GB2312" w:hAnsi="仿宋_GB2312" w:eastAsia="仿宋_GB2312" w:cs="仿宋_GB2312"/>
          <w:color w:val="000000"/>
          <w:kern w:val="0"/>
          <w:sz w:val="32"/>
          <w:szCs w:val="31"/>
        </w:rPr>
        <w:t>贷款种类为固定资产贷款，不包括建设主体日常经营周转性贷款，贷款资金重点用于满足现代设施农业生产经营所必须的基础设施、固定资产设备投资等方面。</w:t>
      </w:r>
    </w:p>
    <w:p w14:paraId="0F9D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Times New Roman"/>
          <w:kern w:val="0"/>
          <w:sz w:val="32"/>
        </w:rPr>
      </w:pPr>
      <w:r>
        <w:rPr>
          <w:rFonts w:hint="eastAsia" w:ascii="仿宋_GB2312" w:hAnsi="仿宋_GB2312" w:eastAsia="仿宋_GB2312" w:cs="仿宋_GB2312"/>
          <w:b/>
          <w:bCs/>
          <w:color w:val="000000"/>
          <w:kern w:val="0"/>
          <w:sz w:val="32"/>
          <w:szCs w:val="31"/>
        </w:rPr>
        <w:t>（</w:t>
      </w:r>
      <w:r>
        <w:rPr>
          <w:rFonts w:ascii="仿宋_GB2312" w:hAnsi="仿宋_GB2312" w:eastAsia="仿宋_GB2312" w:cs="Times New Roman"/>
          <w:b/>
          <w:bCs/>
          <w:color w:val="000000"/>
          <w:kern w:val="0"/>
          <w:sz w:val="32"/>
          <w:szCs w:val="31"/>
        </w:rPr>
        <w:t>3</w:t>
      </w:r>
      <w:r>
        <w:rPr>
          <w:rFonts w:hint="eastAsia" w:ascii="仿宋_GB2312" w:hAnsi="仿宋_GB2312" w:eastAsia="仿宋_GB2312" w:cs="仿宋_GB2312"/>
          <w:b/>
          <w:bCs/>
          <w:color w:val="000000"/>
          <w:kern w:val="0"/>
          <w:sz w:val="32"/>
          <w:szCs w:val="31"/>
        </w:rPr>
        <w:t>）贴息条件。</w:t>
      </w:r>
      <w:r>
        <w:rPr>
          <w:rFonts w:hint="eastAsia" w:ascii="仿宋_GB2312" w:hAnsi="仿宋_GB2312" w:eastAsia="仿宋_GB2312" w:cs="仿宋_GB2312"/>
          <w:color w:val="000000"/>
          <w:kern w:val="0"/>
          <w:sz w:val="32"/>
          <w:szCs w:val="31"/>
        </w:rPr>
        <w:t>核查建设主体是否符合贴息对象要求。</w:t>
      </w:r>
    </w:p>
    <w:p w14:paraId="2180D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color w:val="000000"/>
          <w:kern w:val="0"/>
          <w:sz w:val="32"/>
          <w:szCs w:val="31"/>
        </w:rPr>
      </w:pPr>
      <w:r>
        <w:rPr>
          <w:rFonts w:hint="eastAsia" w:ascii="仿宋_GB2312" w:hAnsi="仿宋_GB2312" w:eastAsia="仿宋_GB2312" w:cs="仿宋_GB2312"/>
          <w:b/>
          <w:bCs/>
          <w:color w:val="000000"/>
          <w:kern w:val="0"/>
          <w:sz w:val="32"/>
          <w:szCs w:val="31"/>
        </w:rPr>
        <w:t>（</w:t>
      </w:r>
      <w:r>
        <w:rPr>
          <w:rFonts w:ascii="仿宋_GB2312" w:hAnsi="仿宋_GB2312" w:eastAsia="仿宋_GB2312" w:cs="Times New Roman"/>
          <w:b/>
          <w:bCs/>
          <w:color w:val="000000"/>
          <w:kern w:val="0"/>
          <w:sz w:val="32"/>
          <w:szCs w:val="31"/>
        </w:rPr>
        <w:t>4</w:t>
      </w:r>
      <w:r>
        <w:rPr>
          <w:rFonts w:hint="eastAsia" w:ascii="仿宋_GB2312" w:hAnsi="仿宋_GB2312" w:eastAsia="仿宋_GB2312" w:cs="仿宋_GB2312"/>
          <w:b/>
          <w:bCs/>
          <w:color w:val="000000"/>
          <w:kern w:val="0"/>
          <w:sz w:val="32"/>
          <w:szCs w:val="31"/>
        </w:rPr>
        <w:t>）贷款资金。</w:t>
      </w:r>
      <w:r>
        <w:rPr>
          <w:rFonts w:hint="eastAsia" w:ascii="仿宋_GB2312" w:hAnsi="仿宋_GB2312" w:eastAsia="仿宋_GB2312" w:cs="仿宋_GB2312"/>
          <w:color w:val="000000"/>
          <w:kern w:val="0"/>
          <w:sz w:val="32"/>
          <w:szCs w:val="31"/>
        </w:rPr>
        <w:t>核查银行贷款合同、放款凭证、付息凭证、利息支付凭证等信息，准确核定贷款范围、贴息期限及贴息金额。</w:t>
      </w:r>
    </w:p>
    <w:p w14:paraId="66DA3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color w:val="000000"/>
          <w:kern w:val="0"/>
          <w:sz w:val="32"/>
          <w:szCs w:val="31"/>
        </w:rPr>
      </w:pPr>
      <w:r>
        <w:rPr>
          <w:rFonts w:ascii="仿宋_GB2312" w:hAnsi="仿宋_GB2312" w:eastAsia="仿宋_GB2312" w:cs="Times New Roman"/>
          <w:b/>
          <w:bCs/>
          <w:color w:val="000000"/>
          <w:kern w:val="0"/>
          <w:sz w:val="32"/>
          <w:szCs w:val="31"/>
        </w:rPr>
        <w:t>4.</w:t>
      </w:r>
      <w:r>
        <w:rPr>
          <w:rFonts w:ascii="仿宋_GB2312" w:hAnsi="仿宋_GB2312" w:eastAsia="仿宋_GB2312" w:cs="仿宋_GB2312"/>
          <w:b/>
          <w:bCs/>
          <w:color w:val="000000"/>
          <w:kern w:val="0"/>
          <w:sz w:val="32"/>
          <w:szCs w:val="31"/>
        </w:rPr>
        <w:t>县级初审。</w:t>
      </w:r>
      <w:r>
        <w:rPr>
          <w:rFonts w:hint="eastAsia" w:ascii="仿宋_GB2312" w:hAnsi="仿宋_GB2312" w:eastAsia="仿宋_GB2312" w:cs="仿宋_GB2312"/>
          <w:color w:val="000000"/>
          <w:kern w:val="0"/>
          <w:sz w:val="32"/>
          <w:szCs w:val="31"/>
        </w:rPr>
        <w:t>区农业农村局会同区财政局对建设主体申报资料的完整性、真实性、合规性进行审核，并对审核通过的项目贷款银行、建设主体、建设内容、贴息标准、贴息金额等内容进行公示，公示期不少于</w:t>
      </w:r>
      <w:r>
        <w:rPr>
          <w:rFonts w:ascii="仿宋_GB2312" w:hAnsi="仿宋_GB2312" w:eastAsia="仿宋_GB2312" w:cs="Times New Roman"/>
          <w:color w:val="000000"/>
          <w:kern w:val="0"/>
          <w:sz w:val="32"/>
          <w:szCs w:val="31"/>
        </w:rPr>
        <w:t>5</w:t>
      </w:r>
      <w:r>
        <w:rPr>
          <w:rFonts w:hint="eastAsia" w:ascii="仿宋_GB2312" w:hAnsi="仿宋_GB2312" w:eastAsia="仿宋_GB2312" w:cs="仿宋_GB2312"/>
          <w:color w:val="000000"/>
          <w:kern w:val="0"/>
          <w:sz w:val="32"/>
          <w:szCs w:val="31"/>
        </w:rPr>
        <w:t>个自然日，公示无异议后，于2024年</w:t>
      </w:r>
      <w:r>
        <w:rPr>
          <w:rFonts w:ascii="仿宋_GB2312" w:hAnsi="仿宋_GB2312" w:eastAsia="仿宋_GB2312" w:cs="Times New Roman"/>
          <w:color w:val="000000"/>
          <w:kern w:val="0"/>
          <w:sz w:val="32"/>
          <w:szCs w:val="31"/>
        </w:rPr>
        <w:t>1</w:t>
      </w:r>
      <w:r>
        <w:rPr>
          <w:rFonts w:hint="eastAsia" w:ascii="仿宋_GB2312" w:hAnsi="仿宋_GB2312" w:eastAsia="仿宋_GB2312" w:cs="仿宋_GB2312"/>
          <w:color w:val="000000"/>
          <w:kern w:val="0"/>
          <w:sz w:val="32"/>
          <w:szCs w:val="31"/>
        </w:rPr>
        <w:t>月</w:t>
      </w:r>
      <w:r>
        <w:rPr>
          <w:rFonts w:ascii="仿宋_GB2312" w:hAnsi="仿宋_GB2312" w:eastAsia="仿宋_GB2312" w:cs="Times New Roman"/>
          <w:color w:val="000000"/>
          <w:kern w:val="0"/>
          <w:sz w:val="32"/>
          <w:szCs w:val="31"/>
        </w:rPr>
        <w:t>10</w:t>
      </w:r>
      <w:r>
        <w:rPr>
          <w:rFonts w:hint="eastAsia" w:ascii="仿宋_GB2312" w:hAnsi="仿宋_GB2312" w:eastAsia="仿宋_GB2312" w:cs="仿宋_GB2312"/>
          <w:color w:val="000000"/>
          <w:kern w:val="0"/>
          <w:sz w:val="32"/>
          <w:szCs w:val="31"/>
        </w:rPr>
        <w:t>日前报市农业农村局和财政局。</w:t>
      </w:r>
    </w:p>
    <w:p w14:paraId="5BC8E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三、2023年现代设施农业贷款贴息申报运行机制</w:t>
      </w:r>
    </w:p>
    <w:p w14:paraId="44FBA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（一）贷款贴息实行申报审核制，由区农业农村局和区财政局共同完成申报审核。</w:t>
      </w:r>
    </w:p>
    <w:p w14:paraId="043E4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建设主体自主申报</w:t>
      </w:r>
      <w:r>
        <w:rPr>
          <w:rFonts w:hint="eastAsia" w:ascii="仿宋_GB2312" w:hAnsi="仿宋_GB2312" w:eastAsia="仿宋_GB2312" w:cs="仿宋_GB2312"/>
          <w:color w:val="000000"/>
          <w:kern w:val="0"/>
          <w:sz w:val="32"/>
          <w:szCs w:val="32"/>
        </w:rPr>
        <w:t>。建设主体将申报表及申报资料（一式三份）报区农业农村局，区农业农村局依据政策扶持条件及标准审核后，报区财政局抽查复核，核实无误后向社会进行公示公开（不少于5个工作日），经公示无异议后，报市农业农村局和财政局。</w:t>
      </w:r>
    </w:p>
    <w:p w14:paraId="641DE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(二)建设主体审核所需材料。</w:t>
      </w:r>
    </w:p>
    <w:p w14:paraId="6AEEA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rPr>
        <w:t>现代设施农业建设项目贷款贴息申报表、现代设施农业建设项目贷款贴息审核表</w:t>
      </w:r>
      <w:r>
        <w:rPr>
          <w:rFonts w:hint="eastAsia" w:ascii="仿宋_GB2312" w:hAnsi="宋体" w:eastAsia="仿宋_GB2312" w:cs="仿宋_GB2312"/>
          <w:b/>
          <w:bCs/>
          <w:color w:val="000000"/>
          <w:kern w:val="0"/>
          <w:sz w:val="32"/>
          <w:szCs w:val="32"/>
        </w:rPr>
        <w:t>；</w:t>
      </w:r>
    </w:p>
    <w:p w14:paraId="60EB2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2.建设主体统一社会信用代码证书（身份证复印件）、项目简介、贷款合同、担保合同（有担保合同的提供）、放款凭证、付息凭证、银行出具的贷款用途及付息情况证明、同期同档次贷款市场报价利率（LPR）证明、施工或购置合同、验收报告等相关佐证材料；</w:t>
      </w:r>
    </w:p>
    <w:p w14:paraId="38B89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3.农业生产经营主体一卡通或银行开户行许可证复印件。</w:t>
      </w:r>
    </w:p>
    <w:p w14:paraId="1C344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4.其他证明资料。家庭农场、合作社、涉农企业：①企业或合作社工商营业执照；②法人身份证；③贷款用途情况证明材料；④种养殖规模或服务证明材料。</w:t>
      </w:r>
    </w:p>
    <w:p w14:paraId="1DA18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建设主体申报贴息资金时，将上述材料按顺序排列装订，一式三份，于12月29日前上报区农业农村局。复印件须确保清晰，并加盖申报单位公章。如有几份合同的，应按时间先后顺序进行排列。</w:t>
      </w:r>
    </w:p>
    <w:p w14:paraId="59BE3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宋体" w:eastAsia="仿宋_GB2312" w:cs="仿宋_GB2312"/>
          <w:b/>
          <w:bCs/>
          <w:color w:val="000000"/>
          <w:kern w:val="0"/>
          <w:sz w:val="32"/>
          <w:szCs w:val="32"/>
        </w:rPr>
      </w:pPr>
      <w:r>
        <w:rPr>
          <w:rFonts w:hint="eastAsia" w:ascii="仿宋_GB2312" w:hAnsi="宋体" w:eastAsia="仿宋_GB2312" w:cs="仿宋_GB2312"/>
          <w:b/>
          <w:bCs/>
          <w:color w:val="000000"/>
          <w:kern w:val="0"/>
          <w:sz w:val="32"/>
          <w:szCs w:val="32"/>
        </w:rPr>
        <w:t>建设主体对材料的真实性、有效性、完整性负责，并承担相关法律责任。</w:t>
      </w:r>
    </w:p>
    <w:p w14:paraId="71EEE302">
      <w:pPr>
        <w:overflowPunct w:val="0"/>
        <w:spacing w:line="560" w:lineRule="exact"/>
        <w:ind w:firstLine="640" w:firstLineChars="200"/>
        <w:rPr>
          <w:rFonts w:ascii="Times New Roman" w:hAnsi="Times New Roman" w:eastAsia="黑体" w:cs="Times New Roman"/>
          <w:sz w:val="32"/>
          <w:szCs w:val="32"/>
        </w:rPr>
      </w:pPr>
      <w:r>
        <w:rPr>
          <w:rFonts w:hint="eastAsia" w:ascii="黑体" w:hAnsi="Times New Roman" w:eastAsia="黑体" w:cs="黑体"/>
          <w:color w:val="000000"/>
          <w:sz w:val="32"/>
          <w:szCs w:val="32"/>
        </w:rPr>
        <w:t>四、</w:t>
      </w:r>
      <w:r>
        <w:rPr>
          <w:rFonts w:hint="eastAsia" w:ascii="黑体" w:hAnsi="黑体" w:eastAsia="黑体" w:cs="黑体"/>
          <w:color w:val="000000"/>
          <w:kern w:val="0"/>
          <w:sz w:val="32"/>
          <w:szCs w:val="32"/>
        </w:rPr>
        <w:t>2023年现代设施农业贷款贴息</w:t>
      </w:r>
      <w:r>
        <w:rPr>
          <w:rFonts w:hint="eastAsia" w:ascii="Times New Roman" w:hAnsi="Times New Roman" w:eastAsia="黑体" w:cs="Times New Roman"/>
          <w:sz w:val="32"/>
          <w:szCs w:val="32"/>
        </w:rPr>
        <w:t>进度</w:t>
      </w:r>
      <w:r>
        <w:rPr>
          <w:rFonts w:ascii="Times New Roman" w:hAnsi="Times New Roman" w:eastAsia="黑体" w:cs="Times New Roman"/>
          <w:sz w:val="32"/>
          <w:szCs w:val="32"/>
        </w:rPr>
        <w:t>安排</w:t>
      </w:r>
    </w:p>
    <w:p w14:paraId="7487C041">
      <w:pPr>
        <w:overflowPunct w:val="0"/>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（一）组织申报（2023年12月15日—2023年12月29日）</w:t>
      </w:r>
    </w:p>
    <w:p w14:paraId="16E7799F">
      <w:pPr>
        <w:tabs>
          <w:tab w:val="left" w:pos="735"/>
        </w:tabs>
        <w:overflowPunct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建设主体于2023年12月15日开始，向区农业农村局313室，提交</w:t>
      </w:r>
      <w:r>
        <w:rPr>
          <w:rFonts w:hint="eastAsia" w:ascii="仿宋_GB2312" w:hAnsi="仿宋_GB2312" w:eastAsia="仿宋_GB2312" w:cs="仿宋_GB2312"/>
          <w:sz w:val="32"/>
          <w:szCs w:val="32"/>
        </w:rPr>
        <w:t>2023年度现代设施农业建设贷款贴息相关资料</w:t>
      </w:r>
      <w:r>
        <w:rPr>
          <w:rFonts w:hint="eastAsia" w:ascii="仿宋_GB2312" w:hAnsi="仿宋_GB2312" w:eastAsia="仿宋_GB2312" w:cs="仿宋_GB2312"/>
          <w:color w:val="000000"/>
          <w:sz w:val="32"/>
          <w:szCs w:val="32"/>
        </w:rPr>
        <w:t>，于2023年12月29日申报结束。</w:t>
      </w:r>
    </w:p>
    <w:p w14:paraId="493193EA">
      <w:pPr>
        <w:tabs>
          <w:tab w:val="left" w:pos="735"/>
        </w:tabs>
        <w:overflowPunct w:val="0"/>
        <w:spacing w:line="560" w:lineRule="exact"/>
        <w:ind w:firstLine="643" w:firstLineChars="200"/>
        <w:rPr>
          <w:rFonts w:ascii="楷体_GB2312" w:hAnsi="Times New Roman" w:eastAsia="楷体_GB2312" w:cs="Times New Roman"/>
          <w:color w:val="000000"/>
          <w:sz w:val="32"/>
          <w:szCs w:val="32"/>
        </w:rPr>
      </w:pPr>
      <w:r>
        <w:rPr>
          <w:rFonts w:hint="eastAsia" w:ascii="楷体_GB2312" w:hAnsi="Times New Roman" w:eastAsia="楷体_GB2312" w:cs="Times New Roman"/>
          <w:b/>
          <w:bCs/>
          <w:color w:val="000000"/>
          <w:sz w:val="32"/>
          <w:szCs w:val="32"/>
        </w:rPr>
        <w:t>（二）资金兑付</w:t>
      </w:r>
    </w:p>
    <w:p w14:paraId="0E0458F8">
      <w:pPr>
        <w:tabs>
          <w:tab w:val="left" w:pos="735"/>
        </w:tabs>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农业特色优势产业贷款贴息资金到位后通过农户“一卡通”账号或经营主体公户进行兑付</w:t>
      </w:r>
      <w:r>
        <w:rPr>
          <w:rFonts w:ascii="Times New Roman" w:hAnsi="Times New Roman" w:eastAsia="仿宋_GB2312" w:cs="Times New Roman"/>
          <w:sz w:val="32"/>
          <w:szCs w:val="32"/>
        </w:rPr>
        <w:t>。</w:t>
      </w:r>
    </w:p>
    <w:p w14:paraId="57D5D737">
      <w:pPr>
        <w:overflowPunct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黑体" w:hAnsi="黑体" w:eastAsia="黑体" w:cs="黑体"/>
          <w:color w:val="000000"/>
          <w:kern w:val="0"/>
          <w:sz w:val="32"/>
          <w:szCs w:val="32"/>
        </w:rPr>
        <w:t>2023年现代设施农业贷款贴息</w:t>
      </w:r>
      <w:r>
        <w:rPr>
          <w:rFonts w:ascii="Times New Roman" w:hAnsi="Times New Roman" w:eastAsia="黑体" w:cs="Times New Roman"/>
          <w:sz w:val="32"/>
          <w:szCs w:val="32"/>
        </w:rPr>
        <w:t>工作要求</w:t>
      </w:r>
    </w:p>
    <w:p w14:paraId="41AE50DE">
      <w:pPr>
        <w:overflowPunct w:val="0"/>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（一）实行公开公示。</w:t>
      </w:r>
      <w:r>
        <w:rPr>
          <w:rFonts w:hint="eastAsia" w:ascii="仿宋_GB2312" w:hAnsi="仿宋_GB2312" w:eastAsia="仿宋_GB2312" w:cs="仿宋_GB2312"/>
          <w:sz w:val="32"/>
          <w:szCs w:val="32"/>
        </w:rPr>
        <w:t>区农业农村局将财政支农贷款贴息政策及时公开并广泛宣传，按照项目所属地的原则，积极组织符合条件的普通农户、家庭农场、合作社、涉农企业按时申报。</w:t>
      </w:r>
    </w:p>
    <w:p w14:paraId="5761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kern w:val="0"/>
          <w:sz w:val="32"/>
          <w:szCs w:val="32"/>
        </w:rPr>
      </w:pPr>
      <w:r>
        <w:rPr>
          <w:rFonts w:hint="eastAsia" w:ascii="楷体_GB2312" w:hAnsi="楷体_GB2312" w:eastAsia="楷体_GB2312" w:cs="楷体_GB2312"/>
          <w:b/>
          <w:bCs/>
          <w:color w:val="000000"/>
          <w:kern w:val="0"/>
          <w:sz w:val="32"/>
          <w:szCs w:val="32"/>
        </w:rPr>
        <w:t>（二）强化项目储备。</w:t>
      </w:r>
      <w:r>
        <w:rPr>
          <w:rFonts w:hint="eastAsia" w:ascii="仿宋_GB2312" w:hAnsi="仿宋_GB2312" w:eastAsia="仿宋_GB2312" w:cs="仿宋_GB2312"/>
          <w:color w:val="000000"/>
          <w:kern w:val="0"/>
          <w:sz w:val="32"/>
          <w:szCs w:val="32"/>
        </w:rPr>
        <w:t>建设主体需注册现代设施农业融资项目库管理平台（网址：https://acpmp.agri.cn），录入主体情况、建设内容、投资规模、融资需求等基本信息。单个项目投资规模在100万元（含）以下的，纳入县级融资项目库；投资规模在100-500万元（含）之间的，纳入市级融资项目库；投资规模在500-1000万元（含）之间的，纳入省级融资项目库；投资规模超过1000万元的，择优遴选推送至部级融资项目库。</w:t>
      </w:r>
    </w:p>
    <w:p w14:paraId="44195BEA">
      <w:pPr>
        <w:overflowPunct w:val="0"/>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（三）坚持如实申报。</w:t>
      </w:r>
      <w:r>
        <w:rPr>
          <w:rFonts w:hint="eastAsia" w:ascii="仿宋_GB2312" w:hAnsi="仿宋_GB2312" w:eastAsia="仿宋_GB2312" w:cs="仿宋_GB2312"/>
          <w:sz w:val="32"/>
          <w:szCs w:val="32"/>
        </w:rPr>
        <w:t>农业经营主体必须如实申报贷款贴息相关信息，并提供相关资料，对申报信息和提供资料的真实性负责。凡是不符合贴息政策要求的，一律不得申报；凡是注册了家庭农场、合作社或者企业的农户，必须按照家庭农场、合作社或者企业申报，否则，取消其补贴资格，按套取财政补贴资金行为处理。</w:t>
      </w:r>
    </w:p>
    <w:p w14:paraId="1BE7EB03">
      <w:pPr>
        <w:overflowPunct w:val="0"/>
        <w:spacing w:line="560" w:lineRule="exact"/>
        <w:ind w:firstLine="643" w:firstLineChars="200"/>
        <w:rPr>
          <w:rFonts w:ascii="仿宋_GB2312" w:hAnsi="仿宋_GB2312" w:eastAsia="仿宋_GB2312" w:cs="仿宋_GB2312"/>
          <w:b/>
          <w:sz w:val="32"/>
          <w:szCs w:val="32"/>
        </w:rPr>
      </w:pPr>
      <w:r>
        <w:rPr>
          <w:rFonts w:hint="eastAsia" w:ascii="楷体_GB2312" w:hAnsi="楷体_GB2312" w:eastAsia="楷体_GB2312" w:cs="楷体_GB2312"/>
          <w:b/>
          <w:sz w:val="32"/>
          <w:szCs w:val="32"/>
        </w:rPr>
        <w:t>（四）严格按时申报。</w:t>
      </w:r>
      <w:r>
        <w:rPr>
          <w:rFonts w:hint="eastAsia" w:ascii="仿宋_GB2312" w:hAnsi="仿宋_GB2312" w:eastAsia="仿宋_GB2312" w:cs="仿宋_GB2312"/>
          <w:sz w:val="32"/>
          <w:szCs w:val="32"/>
        </w:rPr>
        <w:t>各建设主体要按时申报，提高时效性，过期不再申报。由于今年贷款贴息政策调整，支持范围扩大，工作量大，要在1月5日前完成贷款贴息上报审核工作，时间紧，任务重，所以申报材料内容一定要真实准确，凡是申报资料不准确、不齐全、不完善的，没有时间补缺纠错，责任自负。</w:t>
      </w:r>
    </w:p>
    <w:p w14:paraId="2B2FA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（五）严格审核把关。</w:t>
      </w:r>
      <w:r>
        <w:rPr>
          <w:rFonts w:hint="eastAsia" w:ascii="仿宋_GB2312" w:hAnsi="仿宋_GB2312" w:eastAsia="仿宋_GB2312" w:cs="仿宋_GB2312"/>
          <w:kern w:val="0"/>
          <w:sz w:val="32"/>
          <w:szCs w:val="32"/>
        </w:rPr>
        <w:t>要按照贷款贴息的条件和申报要求认真审核、严格把关，做到审核意见明确、签章齐全。对在工作中存在玩忽职守，违规操作的人员，将依据有关规定严肃处理。</w:t>
      </w:r>
    </w:p>
    <w:p w14:paraId="4C7D872A">
      <w:pPr>
        <w:spacing w:line="560" w:lineRule="exact"/>
        <w:ind w:firstLine="640" w:firstLineChars="200"/>
        <w:rPr>
          <w:rFonts w:ascii="仿宋_GB2312" w:hAnsi="Calibri" w:eastAsia="仿宋_GB2312" w:cs="Times New Roman"/>
          <w:sz w:val="32"/>
          <w:szCs w:val="32"/>
        </w:rPr>
      </w:pPr>
      <w:r>
        <w:rPr>
          <w:rFonts w:hint="eastAsia" w:ascii="黑体" w:hAnsi="黑体" w:eastAsia="黑体" w:cs="黑体"/>
          <w:sz w:val="32"/>
          <w:szCs w:val="32"/>
        </w:rPr>
        <w:t>六、结算资金来源及用途</w:t>
      </w:r>
    </w:p>
    <w:p w14:paraId="114239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兑付2023年申报并通过审核的5家建设主体结算资金，涉及企业1家、专业合作社3家、个体经营户1家，结算资金共计2万元，</w:t>
      </w:r>
      <w:r>
        <w:rPr>
          <w:rFonts w:hint="eastAsia" w:ascii="仿宋_GB2312" w:hAnsi="仿宋_GB2312" w:eastAsia="仿宋_GB2312" w:cs="仿宋_GB2312"/>
          <w:sz w:val="32"/>
          <w:szCs w:val="32"/>
          <w:lang w:val="en-US" w:eastAsia="zh-CN"/>
        </w:rPr>
        <w:t>全部为</w:t>
      </w:r>
      <w:r>
        <w:rPr>
          <w:rFonts w:hint="eastAsia" w:ascii="仿宋_GB2312" w:hAnsi="仿宋_GB2312" w:eastAsia="仿宋_GB2312" w:cs="仿宋_GB2312"/>
          <w:sz w:val="32"/>
          <w:szCs w:val="32"/>
        </w:rPr>
        <w:t>中央资金。</w:t>
      </w:r>
      <w:r>
        <w:rPr>
          <w:rFonts w:hint="eastAsia" w:ascii="仿宋_GB2312" w:hAnsi="仿宋_GB2312" w:eastAsia="仿宋_GB2312" w:cs="仿宋_GB2312"/>
          <w:sz w:val="32"/>
          <w:szCs w:val="32"/>
          <w:lang w:val="en-US" w:eastAsia="zh-CN"/>
        </w:rPr>
        <w:t>建设主体贴息明细如下</w:t>
      </w:r>
      <w:r>
        <w:rPr>
          <w:rFonts w:hint="eastAsia" w:ascii="仿宋_GB2312" w:hAnsi="仿宋_GB2312" w:eastAsia="仿宋_GB2312" w:cs="仿宋_GB2312"/>
          <w:sz w:val="32"/>
          <w:szCs w:val="32"/>
        </w:rPr>
        <w:t>：</w:t>
      </w:r>
    </w:p>
    <w:p w14:paraId="520895C2">
      <w:pPr>
        <w:widowControl w:val="0"/>
        <w:numPr>
          <w:ilvl w:val="0"/>
          <w:numId w:val="2"/>
        </w:numPr>
        <w:spacing w:line="560" w:lineRule="exact"/>
        <w:ind w:left="1060" w:hanging="420" w:firstLineChars="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宁夏布法罗牧业有限公司0.92万元；</w:t>
      </w:r>
    </w:p>
    <w:p w14:paraId="520B2A69">
      <w:pPr>
        <w:widowControl w:val="0"/>
        <w:numPr>
          <w:ilvl w:val="0"/>
          <w:numId w:val="2"/>
        </w:numPr>
        <w:spacing w:line="560" w:lineRule="exact"/>
        <w:ind w:left="1060" w:hanging="420" w:firstLineChars="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固原市原州区圣祥养殖专业合作社</w:t>
      </w:r>
      <w:r>
        <w:rPr>
          <w:rFonts w:ascii="仿宋_GB2312" w:hAnsi="仿宋_GB2312" w:eastAsia="仿宋_GB2312" w:cs="仿宋_GB2312"/>
          <w:kern w:val="2"/>
          <w:sz w:val="32"/>
          <w:szCs w:val="32"/>
          <w:lang w:val="en-US" w:eastAsia="zh-CN" w:bidi="ar-SA"/>
        </w:rPr>
        <w:t>0.32</w:t>
      </w:r>
      <w:r>
        <w:rPr>
          <w:rFonts w:hint="eastAsia" w:ascii="仿宋_GB2312" w:hAnsi="仿宋_GB2312" w:eastAsia="仿宋_GB2312" w:cs="仿宋_GB2312"/>
          <w:kern w:val="2"/>
          <w:sz w:val="32"/>
          <w:szCs w:val="32"/>
          <w:lang w:val="en-US" w:eastAsia="zh-CN" w:bidi="ar-SA"/>
        </w:rPr>
        <w:t>万元；</w:t>
      </w:r>
    </w:p>
    <w:p w14:paraId="37CBF043">
      <w:pPr>
        <w:widowControl w:val="0"/>
        <w:numPr>
          <w:ilvl w:val="0"/>
          <w:numId w:val="2"/>
        </w:numPr>
        <w:spacing w:line="560" w:lineRule="exact"/>
        <w:ind w:left="1060" w:hanging="420" w:firstLineChars="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固原市原州区孝贵养殖场</w:t>
      </w:r>
      <w:r>
        <w:rPr>
          <w:rFonts w:ascii="仿宋_GB2312" w:hAnsi="仿宋_GB2312" w:eastAsia="仿宋_GB2312" w:cs="仿宋_GB2312"/>
          <w:kern w:val="2"/>
          <w:sz w:val="32"/>
          <w:szCs w:val="32"/>
          <w:lang w:val="en-US" w:eastAsia="zh-CN" w:bidi="ar-SA"/>
        </w:rPr>
        <w:t>0.1</w:t>
      </w:r>
      <w:r>
        <w:rPr>
          <w:rFonts w:hint="eastAsia" w:ascii="仿宋_GB2312" w:hAnsi="仿宋_GB2312" w:eastAsia="仿宋_GB2312" w:cs="仿宋_GB2312"/>
          <w:kern w:val="2"/>
          <w:sz w:val="32"/>
          <w:szCs w:val="32"/>
          <w:lang w:val="en-US" w:eastAsia="zh-CN" w:bidi="ar-SA"/>
        </w:rPr>
        <w:t>4万元；</w:t>
      </w:r>
    </w:p>
    <w:p w14:paraId="0FE88805">
      <w:pPr>
        <w:widowControl w:val="0"/>
        <w:numPr>
          <w:ilvl w:val="0"/>
          <w:numId w:val="2"/>
        </w:numPr>
        <w:spacing w:line="560" w:lineRule="exact"/>
        <w:ind w:left="1060" w:hanging="420" w:firstLineChars="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固原市原州区农福源专业养殖合作社</w:t>
      </w:r>
      <w:r>
        <w:rPr>
          <w:rFonts w:ascii="仿宋_GB2312" w:hAnsi="仿宋_GB2312" w:eastAsia="仿宋_GB2312" w:cs="仿宋_GB2312"/>
          <w:kern w:val="2"/>
          <w:sz w:val="32"/>
          <w:szCs w:val="32"/>
          <w:lang w:val="en-US" w:eastAsia="zh-CN" w:bidi="ar-SA"/>
        </w:rPr>
        <w:t>0.24万元；</w:t>
      </w:r>
    </w:p>
    <w:p w14:paraId="184B784C">
      <w:pPr>
        <w:widowControl w:val="0"/>
        <w:numPr>
          <w:ilvl w:val="0"/>
          <w:numId w:val="2"/>
        </w:numPr>
        <w:spacing w:line="560" w:lineRule="exact"/>
        <w:ind w:left="1060" w:hanging="420" w:firstLineChars="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固原市原州区伊牧牛羊养殖专业合作社</w:t>
      </w:r>
      <w:r>
        <w:rPr>
          <w:rFonts w:ascii="仿宋_GB2312" w:hAnsi="仿宋_GB2312" w:eastAsia="仿宋_GB2312" w:cs="仿宋_GB2312"/>
          <w:kern w:val="2"/>
          <w:sz w:val="32"/>
          <w:szCs w:val="32"/>
          <w:lang w:val="en-US" w:eastAsia="zh-CN" w:bidi="ar-SA"/>
        </w:rPr>
        <w:t>0.3</w:t>
      </w:r>
      <w:r>
        <w:rPr>
          <w:rFonts w:hint="eastAsia" w:ascii="仿宋_GB2312" w:hAnsi="仿宋_GB2312" w:eastAsia="仿宋_GB2312" w:cs="仿宋_GB2312"/>
          <w:kern w:val="2"/>
          <w:sz w:val="32"/>
          <w:szCs w:val="32"/>
          <w:lang w:val="en-US" w:eastAsia="zh-CN" w:bidi="ar-SA"/>
        </w:rPr>
        <w:t>8</w:t>
      </w:r>
      <w:r>
        <w:rPr>
          <w:rFonts w:ascii="仿宋_GB2312" w:hAnsi="仿宋_GB2312" w:eastAsia="仿宋_GB2312" w:cs="仿宋_GB2312"/>
          <w:kern w:val="2"/>
          <w:sz w:val="32"/>
          <w:szCs w:val="32"/>
          <w:lang w:val="en-US" w:eastAsia="zh-CN" w:bidi="ar-SA"/>
        </w:rPr>
        <w:t>万元</w:t>
      </w:r>
    </w:p>
    <w:p w14:paraId="2B692006">
      <w:pPr>
        <w:autoSpaceDE w:val="0"/>
        <w:autoSpaceDN w:val="0"/>
        <w:adjustRightInd w:val="0"/>
        <w:spacing w:line="560" w:lineRule="exact"/>
        <w:ind w:firstLine="640" w:firstLineChars="200"/>
        <w:rPr>
          <w:rFonts w:ascii="仿宋" w:hAnsi="仿宋" w:eastAsia="仿宋" w:cs="仿宋"/>
          <w:b/>
          <w:kern w:val="0"/>
          <w:sz w:val="32"/>
          <w:szCs w:val="32"/>
        </w:rPr>
      </w:pPr>
      <w:r>
        <w:rPr>
          <w:rFonts w:hint="eastAsia" w:ascii="黑体" w:hAnsi="Calibri" w:eastAsia="黑体" w:cs="宋体"/>
          <w:kern w:val="0"/>
          <w:sz w:val="32"/>
          <w:szCs w:val="32"/>
        </w:rPr>
        <w:t>七、方法步骤</w:t>
      </w:r>
    </w:p>
    <w:p w14:paraId="7AFE4AA9">
      <w:pPr>
        <w:autoSpaceDE w:val="0"/>
        <w:autoSpaceDN w:val="0"/>
        <w:adjustRightIn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（一）实施期限</w:t>
      </w:r>
    </w:p>
    <w:p w14:paraId="0883365A">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2024年2月至2024年12月。</w:t>
      </w:r>
    </w:p>
    <w:p w14:paraId="2CC8BF09">
      <w:pPr>
        <w:autoSpaceDE w:val="0"/>
        <w:autoSpaceDN w:val="0"/>
        <w:adjustRightIn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（二）实施进度计划</w:t>
      </w:r>
    </w:p>
    <w:p w14:paraId="2C5599C8">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1.2024年2月，完成项目方案的报送和对接工作。</w:t>
      </w:r>
    </w:p>
    <w:p w14:paraId="6AF95B81">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2.2024年3月-10月，全面落实项目建设任务。</w:t>
      </w:r>
    </w:p>
    <w:p w14:paraId="7B38597F">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3.2024年12月，组织开展绩效自评工作，进行项目总结，迎接自治区农业农村厅检查考评。</w:t>
      </w:r>
    </w:p>
    <w:p w14:paraId="3BCE643C">
      <w:pPr>
        <w:autoSpaceDE w:val="0"/>
        <w:autoSpaceDN w:val="0"/>
        <w:adjustRightInd w:val="0"/>
        <w:spacing w:line="560" w:lineRule="exact"/>
        <w:ind w:firstLine="640" w:firstLineChars="200"/>
        <w:rPr>
          <w:rFonts w:ascii="黑体" w:hAnsi="Calibri" w:eastAsia="黑体" w:cs="宋体"/>
          <w:kern w:val="0"/>
          <w:sz w:val="32"/>
          <w:szCs w:val="32"/>
          <w:lang w:val="zh-CN"/>
        </w:rPr>
      </w:pPr>
      <w:r>
        <w:rPr>
          <w:rFonts w:hint="eastAsia" w:ascii="黑体" w:hAnsi="Calibri" w:eastAsia="黑体" w:cs="宋体"/>
          <w:kern w:val="0"/>
          <w:sz w:val="32"/>
          <w:szCs w:val="32"/>
        </w:rPr>
        <w:t>六、保障措施</w:t>
      </w:r>
    </w:p>
    <w:p w14:paraId="5C6BB24E">
      <w:pPr>
        <w:widowControl w:val="0"/>
        <w:spacing w:line="560" w:lineRule="exact"/>
        <w:ind w:firstLine="640"/>
        <w:jc w:val="both"/>
        <w:rPr>
          <w:rFonts w:ascii="Calibri" w:hAnsi="Calibri" w:eastAsia="仿宋_GB2312" w:cs="Times New Roman"/>
          <w:spacing w:val="-4"/>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（一）</w:t>
      </w:r>
      <w:r>
        <w:rPr>
          <w:rFonts w:hint="eastAsia" w:ascii="楷体_GB2312" w:hAnsi="楷体_GB2312" w:eastAsia="楷体_GB2312" w:cs="楷体_GB2312"/>
          <w:b/>
          <w:bCs/>
          <w:color w:val="000000"/>
          <w:kern w:val="0"/>
          <w:sz w:val="32"/>
          <w:szCs w:val="32"/>
          <w:lang w:val="en-US" w:eastAsia="zh-CN" w:bidi="ar-SA"/>
        </w:rPr>
        <w:t>抓好监督管理。</w:t>
      </w:r>
      <w:r>
        <w:rPr>
          <w:rFonts w:hint="eastAsia" w:ascii="仿宋_GB2312" w:hAnsi="仿宋_GB2312" w:eastAsia="仿宋_GB2312" w:cs="仿宋_GB2312"/>
          <w:color w:val="000000"/>
          <w:kern w:val="0"/>
          <w:sz w:val="32"/>
          <w:szCs w:val="32"/>
          <w:lang w:val="en-US" w:eastAsia="zh-CN" w:bidi="ar-SA"/>
        </w:rPr>
        <w:t>要严格按照有关要求组织好贷款贴息项目的申报和审核工作，建立规范工作台账，加强统计分析，将所涉及的项目建设内容、承贷主体情况、贴息奖补金额等相关信息和资料存档备查，防范弄虚作假、套取挪用财政资金等违法行为，确保贷款贴息用于现代设施农业投资建设。加强对项目实施和奖补资金管理使用情况的绩效监管，及时开展绩效目标设定、监控和评价等工作，确保资金高效使用。</w:t>
      </w:r>
    </w:p>
    <w:p w14:paraId="5397D356">
      <w:pPr>
        <w:widowControl w:val="0"/>
        <w:spacing w:line="560" w:lineRule="exact"/>
        <w:ind w:firstLine="640"/>
        <w:jc w:val="both"/>
        <w:rPr>
          <w:rFonts w:hint="default" w:ascii="Calibri" w:hAnsi="Calibri" w:eastAsia="宋体" w:cs="Times New Roman"/>
          <w:kern w:val="2"/>
          <w:sz w:val="24"/>
          <w:szCs w:val="24"/>
          <w:lang w:val="en-US" w:eastAsia="zh-CN" w:bidi="ar-SA"/>
        </w:rPr>
      </w:pPr>
      <w:r>
        <w:rPr>
          <w:rFonts w:hint="eastAsia" w:ascii="楷体_GB2312" w:hAnsi="楷体_GB2312" w:eastAsia="楷体_GB2312" w:cs="楷体_GB2312"/>
          <w:b/>
          <w:bCs/>
          <w:color w:val="000000"/>
          <w:kern w:val="0"/>
          <w:sz w:val="32"/>
          <w:szCs w:val="32"/>
          <w:lang w:val="en-US" w:eastAsia="zh-CN" w:bidi="ar-SA"/>
        </w:rPr>
        <w:t>（二）</w:t>
      </w:r>
      <w:r>
        <w:rPr>
          <w:rFonts w:hint="eastAsia" w:ascii="楷体_GB2312" w:hAnsi="楷体_GB2312" w:eastAsia="楷体_GB2312" w:cs="楷体_GB2312"/>
          <w:b/>
          <w:bCs/>
          <w:kern w:val="0"/>
          <w:sz w:val="32"/>
          <w:szCs w:val="32"/>
          <w:lang w:val="en-US" w:eastAsia="zh-CN" w:bidi="ar-SA"/>
        </w:rPr>
        <w:t>严格项目资金管理。</w:t>
      </w:r>
      <w:r>
        <w:rPr>
          <w:rFonts w:hint="eastAsia" w:ascii="Calibri" w:hAnsi="Calibri" w:eastAsia="仿宋_GB2312" w:cs="Times New Roman"/>
          <w:spacing w:val="-4"/>
          <w:kern w:val="2"/>
          <w:sz w:val="32"/>
          <w:szCs w:val="32"/>
          <w:lang w:val="en-US" w:eastAsia="zh-CN" w:bidi="ar-SA"/>
        </w:rPr>
        <w:t>严格资金使用与管理，确保资金足额及时到位、专款专用，提高资金使用效益。</w:t>
      </w:r>
    </w:p>
    <w:p w14:paraId="51D08038">
      <w:pPr>
        <w:widowControl/>
        <w:snapToGrid w:val="0"/>
        <w:spacing w:line="540" w:lineRule="exact"/>
        <w:ind w:firstLine="640" w:firstLineChars="200"/>
        <w:rPr>
          <w:rFonts w:ascii="Calibri" w:hAnsi="Calibri" w:eastAsia="仿宋_GB2312" w:cs="Times New Roman"/>
          <w:sz w:val="32"/>
          <w:szCs w:val="32"/>
        </w:rPr>
      </w:pPr>
    </w:p>
    <w:p w14:paraId="46D3C8AC">
      <w:pPr>
        <w:widowControl/>
        <w:snapToGrid w:val="0"/>
        <w:spacing w:line="540" w:lineRule="exact"/>
        <w:ind w:firstLine="640" w:firstLineChars="200"/>
        <w:rPr>
          <w:rFonts w:ascii="Calibri" w:hAnsi="Calibri" w:eastAsia="仿宋_GB2312" w:cs="Times New Roman"/>
          <w:sz w:val="32"/>
          <w:szCs w:val="32"/>
        </w:rPr>
      </w:pPr>
      <w:r>
        <w:rPr>
          <w:rFonts w:hint="eastAsia" w:ascii="Calibri" w:hAnsi="Calibri" w:eastAsia="仿宋_GB2312" w:cs="Times New Roman"/>
          <w:sz w:val="32"/>
          <w:szCs w:val="32"/>
        </w:rPr>
        <w:t>附件：</w:t>
      </w:r>
    </w:p>
    <w:p w14:paraId="45C650A4">
      <w:pPr>
        <w:widowControl/>
        <w:snapToGrid w:val="0"/>
        <w:spacing w:line="540" w:lineRule="exact"/>
        <w:ind w:left="2236" w:leftChars="76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2024年贷款贴息资金结算项目资金安排表</w:t>
      </w:r>
    </w:p>
    <w:p w14:paraId="675D86E7">
      <w:pPr>
        <w:widowControl/>
        <w:snapToGrid w:val="0"/>
        <w:spacing w:line="540" w:lineRule="exact"/>
        <w:ind w:left="2236" w:leftChars="76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2024年贷款贴息资金结算项目</w:t>
      </w:r>
      <w:r>
        <w:rPr>
          <w:rFonts w:hint="eastAsia" w:ascii="Calibri" w:hAnsi="Calibri" w:eastAsia="仿宋_GB2312" w:cs="Times New Roman"/>
          <w:sz w:val="32"/>
          <w:szCs w:val="32"/>
        </w:rPr>
        <w:t>绩效目标申报表</w:t>
      </w:r>
    </w:p>
    <w:p w14:paraId="39EC216B">
      <w:pPr>
        <w:widowControl/>
        <w:snapToGrid w:val="0"/>
        <w:spacing w:line="540" w:lineRule="exact"/>
        <w:rPr>
          <w:rFonts w:ascii="仿宋_GB2312" w:hAnsi="仿宋_GB2312" w:eastAsia="仿宋_GB2312" w:cs="仿宋_GB2312"/>
          <w:sz w:val="32"/>
          <w:szCs w:val="32"/>
        </w:rPr>
      </w:pPr>
    </w:p>
    <w:p w14:paraId="1A25F4CB">
      <w:pPr>
        <w:sectPr>
          <w:footerReference r:id="rId3" w:type="default"/>
          <w:pgSz w:w="11906" w:h="16838"/>
          <w:pgMar w:top="2098" w:right="1474" w:bottom="1984" w:left="1587" w:header="851" w:footer="992" w:gutter="0"/>
          <w:pgNumType w:fmt="numberInDash"/>
          <w:cols w:space="720" w:num="1"/>
          <w:docGrid w:type="lines" w:linePitch="312" w:charSpace="0"/>
        </w:sectPr>
      </w:pPr>
    </w:p>
    <w:tbl>
      <w:tblPr>
        <w:tblStyle w:val="2"/>
        <w:tblW w:w="157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
        <w:gridCol w:w="1101"/>
        <w:gridCol w:w="715"/>
        <w:gridCol w:w="1177"/>
        <w:gridCol w:w="1653"/>
        <w:gridCol w:w="1102"/>
        <w:gridCol w:w="1683"/>
        <w:gridCol w:w="1854"/>
        <w:gridCol w:w="2625"/>
        <w:gridCol w:w="371"/>
        <w:gridCol w:w="2981"/>
      </w:tblGrid>
      <w:tr w14:paraId="08CA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981" w:type="dxa"/>
          <w:trHeight w:val="587" w:hRule="atLeast"/>
          <w:tblHeader/>
        </w:trPr>
        <w:tc>
          <w:tcPr>
            <w:tcW w:w="12788" w:type="dxa"/>
            <w:gridSpan w:val="10"/>
            <w:tcBorders>
              <w:top w:val="nil"/>
              <w:left w:val="nil"/>
              <w:bottom w:val="nil"/>
              <w:right w:val="nil"/>
            </w:tcBorders>
            <w:shd w:val="clear" w:color="auto" w:fill="auto"/>
            <w:noWrap/>
            <w:vAlign w:val="center"/>
          </w:tcPr>
          <w:p w14:paraId="0027CC79">
            <w:pPr>
              <w:widowControl w:val="0"/>
              <w:spacing w:after="0" w:line="560" w:lineRule="exact"/>
              <w:ind w:left="0" w:leftChars="0" w:firstLine="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附件1</w:t>
            </w:r>
          </w:p>
          <w:p w14:paraId="13CC847E">
            <w:pPr>
              <w:widowControl/>
              <w:snapToGrid w:val="0"/>
              <w:spacing w:line="540" w:lineRule="exact"/>
              <w:ind w:left="2476" w:leftChars="760" w:hanging="880" w:hangingChars="200"/>
              <w:jc w:val="center"/>
              <w:rPr>
                <w:rFonts w:ascii="汉仪中宋简" w:hAnsi="汉仪中宋简" w:eastAsia="汉仪中宋简" w:cs="汉仪中宋简"/>
                <w:b/>
                <w:bCs/>
                <w:i w:val="0"/>
                <w:iCs w:val="0"/>
                <w:color w:val="000000"/>
                <w:sz w:val="36"/>
                <w:szCs w:val="36"/>
                <w:u w:val="none"/>
              </w:rPr>
            </w:pPr>
            <w:r>
              <w:rPr>
                <w:rFonts w:hint="eastAsia" w:ascii="方正小标宋简体" w:hAnsi="方正小标宋简体" w:eastAsia="方正小标宋简体" w:cs="方正小标宋简体"/>
                <w:sz w:val="44"/>
                <w:szCs w:val="44"/>
              </w:rPr>
              <w:t>2024年贷款贴息资金结算项目资金安排表</w:t>
            </w:r>
          </w:p>
        </w:tc>
      </w:tr>
      <w:tr w14:paraId="1DBA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81" w:type="dxa"/>
          <w:trHeight w:val="294" w:hRule="atLeast"/>
          <w:tblHeader/>
        </w:trPr>
        <w:tc>
          <w:tcPr>
            <w:tcW w:w="12788" w:type="dxa"/>
            <w:gridSpan w:val="10"/>
            <w:tcBorders>
              <w:top w:val="nil"/>
              <w:left w:val="nil"/>
              <w:bottom w:val="nil"/>
              <w:right w:val="nil"/>
            </w:tcBorders>
            <w:shd w:val="clear" w:color="auto" w:fill="auto"/>
            <w:noWrap/>
            <w:vAlign w:val="center"/>
          </w:tcPr>
          <w:p w14:paraId="3A89AFE4">
            <w:pPr>
              <w:jc w:val="center"/>
              <w:rPr>
                <w:rFonts w:hint="eastAsia" w:ascii="宋体" w:hAnsi="宋体" w:eastAsia="宋体" w:cs="宋体"/>
                <w:i w:val="0"/>
                <w:iCs w:val="0"/>
                <w:color w:val="000000"/>
                <w:sz w:val="24"/>
                <w:szCs w:val="24"/>
                <w:u w:val="none"/>
              </w:rPr>
            </w:pPr>
          </w:p>
        </w:tc>
      </w:tr>
      <w:tr w14:paraId="416C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52" w:type="dxa"/>
          <w:trHeight w:val="1770" w:hRule="atLeast"/>
          <w:tblHeader/>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86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8D1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贴息</w:t>
            </w:r>
          </w:p>
          <w:p w14:paraId="0BE648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对象名称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EF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贴息对象类型</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A72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建设</w:t>
            </w:r>
          </w:p>
          <w:p w14:paraId="249B885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w:t>
            </w:r>
          </w:p>
          <w:p w14:paraId="690C2E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7F9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建设</w:t>
            </w:r>
          </w:p>
          <w:p w14:paraId="226EEE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项目内容</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34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建设项目投资规模（万元）</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3BD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建设项目</w:t>
            </w:r>
          </w:p>
          <w:p w14:paraId="0FB026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所在地</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4B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符合条件的贷款金额（万元）</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7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核定贴息金额</w:t>
            </w:r>
          </w:p>
        </w:tc>
      </w:tr>
      <w:tr w14:paraId="493F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3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005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3396">
            <w:pPr>
              <w:jc w:val="left"/>
              <w:rPr>
                <w:rFonts w:hint="eastAsia" w:ascii="宋体" w:hAnsi="宋体" w:eastAsia="宋体" w:cs="宋体"/>
                <w:b/>
                <w:bCs/>
                <w:i w:val="0"/>
                <w:iCs w:val="0"/>
                <w:color w:val="000000"/>
                <w:sz w:val="22"/>
                <w:szCs w:val="22"/>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F1FD">
            <w:pPr>
              <w:jc w:val="left"/>
              <w:rPr>
                <w:rFonts w:hint="eastAsia" w:ascii="宋体" w:hAnsi="宋体" w:eastAsia="宋体" w:cs="宋体"/>
                <w:b/>
                <w:bCs/>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6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1188</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90BC">
            <w:pPr>
              <w:jc w:val="left"/>
              <w:rPr>
                <w:rFonts w:hint="eastAsia" w:ascii="宋体" w:hAnsi="宋体" w:eastAsia="宋体" w:cs="宋体"/>
                <w:b/>
                <w:bCs/>
                <w:i w:val="0"/>
                <w:iCs w:val="0"/>
                <w:color w:val="000000"/>
                <w:sz w:val="22"/>
                <w:szCs w:val="22"/>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E3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110.883709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57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352" w:type="dxa"/>
            <w:gridSpan w:val="2"/>
            <w:tcBorders>
              <w:left w:val="single" w:color="000000" w:sz="4" w:space="0"/>
              <w:right w:val="single" w:color="000000" w:sz="4" w:space="0"/>
            </w:tcBorders>
            <w:shd w:val="clear" w:color="auto" w:fill="auto"/>
            <w:vAlign w:val="center"/>
          </w:tcPr>
          <w:p w14:paraId="2867C28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r w14:paraId="5202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52" w:type="dxa"/>
          <w:trHeight w:val="1403"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9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9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宁夏布法罗牧业有限公司</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9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81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宁夏布法罗牧业标准牛场建设项目</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E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新改建牛棚3000平米、冷库2间、排酸库1间。</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3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F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宁夏固原市原州区开城镇吴庄村</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4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60.3555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8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r>
      <w:tr w14:paraId="16F0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52" w:type="dxa"/>
          <w:trHeight w:val="1403"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25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FA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固原市原州区圣祥养殖专业合作社</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F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合作社</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2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圣祥养殖场基础设施建设项目</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F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新建牛棚1200平米，修建积水池1座，购置撒料车一台。</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2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2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固原市原州区黄铎堡镇穆滩村</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5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6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r>
      <w:tr w14:paraId="0347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52" w:type="dxa"/>
          <w:trHeight w:val="1803"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D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8B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固原市原州区孝贵养殖场</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D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个体经营户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5E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孝贵养殖场基础设施建设项目</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B9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新建牛棚、饲草储藏加工车间、腌草池。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F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1D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固原市原州区黄铎堡镇穆滩村四组</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9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10.518209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2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0.14</w:t>
            </w:r>
          </w:p>
        </w:tc>
      </w:tr>
      <w:tr w14:paraId="5F51B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52" w:type="dxa"/>
          <w:trHeight w:val="3062" w:hRule="atLeast"/>
        </w:trPr>
        <w:tc>
          <w:tcPr>
            <w:tcW w:w="507" w:type="dxa"/>
            <w:tcBorders>
              <w:top w:val="single" w:color="000000" w:sz="4" w:space="0"/>
              <w:left w:val="single" w:color="000000" w:sz="4" w:space="0"/>
              <w:bottom w:val="nil"/>
              <w:right w:val="single" w:color="000000" w:sz="4" w:space="0"/>
            </w:tcBorders>
            <w:shd w:val="clear" w:color="auto" w:fill="auto"/>
            <w:vAlign w:val="center"/>
          </w:tcPr>
          <w:p w14:paraId="6FD70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01" w:type="dxa"/>
            <w:tcBorders>
              <w:top w:val="single" w:color="000000" w:sz="4" w:space="0"/>
              <w:left w:val="single" w:color="000000" w:sz="4" w:space="0"/>
              <w:bottom w:val="nil"/>
              <w:right w:val="single" w:color="000000" w:sz="4" w:space="0"/>
            </w:tcBorders>
            <w:shd w:val="clear" w:color="auto" w:fill="auto"/>
            <w:vAlign w:val="center"/>
          </w:tcPr>
          <w:p w14:paraId="6276E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固原市原州区农福源专业养殖合作社</w:t>
            </w:r>
          </w:p>
        </w:tc>
        <w:tc>
          <w:tcPr>
            <w:tcW w:w="715" w:type="dxa"/>
            <w:tcBorders>
              <w:top w:val="single" w:color="000000" w:sz="4" w:space="0"/>
              <w:left w:val="single" w:color="000000" w:sz="4" w:space="0"/>
              <w:bottom w:val="nil"/>
              <w:right w:val="single" w:color="000000" w:sz="4" w:space="0"/>
            </w:tcBorders>
            <w:shd w:val="clear" w:color="auto" w:fill="auto"/>
            <w:vAlign w:val="center"/>
          </w:tcPr>
          <w:p w14:paraId="63BDC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kern w:val="0"/>
                <w:sz w:val="22"/>
                <w:szCs w:val="22"/>
                <w:lang w:val="en-US" w:eastAsia="zh-CN" w:bidi="ar-SA"/>
              </w:rPr>
              <w:t>合</w:t>
            </w:r>
            <w:r>
              <w:rPr>
                <w:rFonts w:hint="eastAsia" w:ascii="宋体" w:hAnsi="宋体" w:eastAsia="宋体" w:cs="宋体"/>
                <w:i w:val="0"/>
                <w:iCs w:val="0"/>
                <w:color w:val="000000"/>
                <w:kern w:val="0"/>
                <w:sz w:val="22"/>
                <w:szCs w:val="22"/>
                <w:u w:val="none"/>
                <w:lang w:val="en-US" w:eastAsia="zh-CN" w:bidi="ar"/>
              </w:rPr>
              <w:t>作社</w:t>
            </w:r>
          </w:p>
        </w:tc>
        <w:tc>
          <w:tcPr>
            <w:tcW w:w="1177" w:type="dxa"/>
            <w:tcBorders>
              <w:top w:val="single" w:color="000000" w:sz="4" w:space="0"/>
              <w:left w:val="single" w:color="000000" w:sz="4" w:space="0"/>
              <w:bottom w:val="nil"/>
              <w:right w:val="single" w:color="000000" w:sz="4" w:space="0"/>
            </w:tcBorders>
            <w:shd w:val="clear" w:color="auto" w:fill="auto"/>
            <w:vAlign w:val="center"/>
          </w:tcPr>
          <w:p w14:paraId="262C3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固原市原州区农福源养殖专业合作社经营能力提升项目</w:t>
            </w:r>
          </w:p>
        </w:tc>
        <w:tc>
          <w:tcPr>
            <w:tcW w:w="1653" w:type="dxa"/>
            <w:tcBorders>
              <w:top w:val="single" w:color="000000" w:sz="4" w:space="0"/>
              <w:left w:val="single" w:color="000000" w:sz="4" w:space="0"/>
              <w:bottom w:val="nil"/>
              <w:right w:val="single" w:color="000000" w:sz="4" w:space="0"/>
            </w:tcBorders>
            <w:shd w:val="clear" w:color="auto" w:fill="auto"/>
            <w:vAlign w:val="center"/>
          </w:tcPr>
          <w:p w14:paraId="03122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引进卧式粉料机一套、绞轮清粪设备二套；新增一舍设备，其中主要包含三层自动喂料机2组、清粪刮板2套、鸡笼216个。</w:t>
            </w:r>
          </w:p>
        </w:tc>
        <w:tc>
          <w:tcPr>
            <w:tcW w:w="1102" w:type="dxa"/>
            <w:tcBorders>
              <w:top w:val="single" w:color="000000" w:sz="4" w:space="0"/>
              <w:left w:val="single" w:color="000000" w:sz="4" w:space="0"/>
              <w:bottom w:val="nil"/>
              <w:right w:val="single" w:color="000000" w:sz="4" w:space="0"/>
            </w:tcBorders>
            <w:shd w:val="clear" w:color="auto" w:fill="auto"/>
            <w:vAlign w:val="center"/>
          </w:tcPr>
          <w:p w14:paraId="6284B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83" w:type="dxa"/>
            <w:tcBorders>
              <w:top w:val="single" w:color="000000" w:sz="4" w:space="0"/>
              <w:left w:val="single" w:color="000000" w:sz="4" w:space="0"/>
              <w:bottom w:val="nil"/>
              <w:right w:val="single" w:color="000000" w:sz="4" w:space="0"/>
            </w:tcBorders>
            <w:shd w:val="clear" w:color="auto" w:fill="auto"/>
            <w:vAlign w:val="center"/>
          </w:tcPr>
          <w:p w14:paraId="17B60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宁夏回族自治区固原市原州区头营镇陶庄村一组</w:t>
            </w:r>
          </w:p>
        </w:tc>
        <w:tc>
          <w:tcPr>
            <w:tcW w:w="1854" w:type="dxa"/>
            <w:tcBorders>
              <w:top w:val="single" w:color="000000" w:sz="4" w:space="0"/>
              <w:left w:val="single" w:color="000000" w:sz="4" w:space="0"/>
              <w:bottom w:val="nil"/>
              <w:right w:val="single" w:color="000000" w:sz="4" w:space="0"/>
            </w:tcBorders>
            <w:shd w:val="clear" w:color="auto" w:fill="auto"/>
            <w:vAlign w:val="center"/>
          </w:tcPr>
          <w:p w14:paraId="0C8AC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4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r>
      <w:tr w14:paraId="481C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52" w:type="dxa"/>
          <w:trHeight w:val="2116"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8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4E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固原市原州区伊牧牛羊养殖专业合作社</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C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合作社</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A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固原市原州区伊牧肉牛养殖场扩建项目</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E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改建牛舍3800平方米。</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F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9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原州区张易镇黄堡村</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3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23.0612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E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r>
    </w:tbl>
    <w:p w14:paraId="5B2DF850">
      <w:pPr>
        <w:widowControl/>
        <w:snapToGrid w:val="0"/>
        <w:spacing w:line="560" w:lineRule="exact"/>
        <w:jc w:val="left"/>
        <w:sectPr>
          <w:footerReference r:id="rId4" w:type="default"/>
          <w:pgSz w:w="16838" w:h="11906" w:orient="landscape"/>
          <w:pgMar w:top="1440" w:right="1800" w:bottom="1440" w:left="1800" w:header="851" w:footer="992" w:gutter="0"/>
          <w:pgNumType w:fmt="numberInDash"/>
          <w:cols w:space="720" w:num="1"/>
          <w:docGrid w:type="lines" w:linePitch="312" w:charSpace="0"/>
        </w:sectPr>
      </w:pPr>
    </w:p>
    <w:p w14:paraId="1C4897E0">
      <w:pPr>
        <w:widowControl w:val="0"/>
        <w:spacing w:after="0" w:line="560" w:lineRule="exact"/>
        <w:ind w:left="0" w:leftChars="0" w:firstLine="0" w:firstLineChars="0"/>
        <w:jc w:val="both"/>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附件2</w:t>
      </w:r>
    </w:p>
    <w:p w14:paraId="27F72B3E">
      <w:pPr>
        <w:widowControl/>
        <w:spacing w:line="560" w:lineRule="exact"/>
        <w:jc w:val="center"/>
        <w:textAlignment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2024年中央农业生产发展资金绩效目标</w:t>
      </w:r>
    </w:p>
    <w:p w14:paraId="5042AC35">
      <w:pPr>
        <w:widowControl/>
        <w:spacing w:line="560" w:lineRule="exact"/>
        <w:jc w:val="center"/>
        <w:textAlignment w:val="center"/>
        <w:rPr>
          <w:rFonts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申报表</w:t>
      </w:r>
    </w:p>
    <w:tbl>
      <w:tblPr>
        <w:tblStyle w:val="2"/>
        <w:tblpPr w:leftFromText="180" w:rightFromText="180" w:vertAnchor="page" w:horzAnchor="page" w:tblpX="1481" w:tblpY="3607"/>
        <w:tblOverlap w:val="never"/>
        <w:tblW w:w="9259" w:type="dxa"/>
        <w:tblInd w:w="0" w:type="dxa"/>
        <w:tblLayout w:type="autofit"/>
        <w:tblCellMar>
          <w:top w:w="0" w:type="dxa"/>
          <w:left w:w="0" w:type="dxa"/>
          <w:bottom w:w="0" w:type="dxa"/>
          <w:right w:w="0" w:type="dxa"/>
        </w:tblCellMar>
      </w:tblPr>
      <w:tblGrid>
        <w:gridCol w:w="657"/>
        <w:gridCol w:w="1031"/>
        <w:gridCol w:w="1586"/>
        <w:gridCol w:w="784"/>
        <w:gridCol w:w="2620"/>
        <w:gridCol w:w="16"/>
        <w:gridCol w:w="2565"/>
      </w:tblGrid>
      <w:tr w14:paraId="76A5E5C2">
        <w:tblPrEx>
          <w:tblCellMar>
            <w:top w:w="0" w:type="dxa"/>
            <w:left w:w="0" w:type="dxa"/>
            <w:bottom w:w="0" w:type="dxa"/>
            <w:right w:w="0" w:type="dxa"/>
          </w:tblCellMar>
        </w:tblPrEx>
        <w:trPr>
          <w:trHeight w:val="364" w:hRule="atLeast"/>
        </w:trPr>
        <w:tc>
          <w:tcPr>
            <w:tcW w:w="40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5606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专项名称</w:t>
            </w:r>
          </w:p>
        </w:tc>
        <w:tc>
          <w:tcPr>
            <w:tcW w:w="52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0C9A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2024年贷款贴息资金结算项目</w:t>
            </w:r>
          </w:p>
        </w:tc>
      </w:tr>
      <w:tr w14:paraId="09AA5ACB">
        <w:tblPrEx>
          <w:tblCellMar>
            <w:top w:w="0" w:type="dxa"/>
            <w:left w:w="0" w:type="dxa"/>
            <w:bottom w:w="0" w:type="dxa"/>
            <w:right w:w="0" w:type="dxa"/>
          </w:tblCellMar>
        </w:tblPrEx>
        <w:trPr>
          <w:trHeight w:val="364" w:hRule="atLeast"/>
        </w:trPr>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C439A">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中央主管部门</w:t>
            </w:r>
          </w:p>
        </w:tc>
        <w:tc>
          <w:tcPr>
            <w:tcW w:w="2370"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56A5C2A">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财政部、农业农村部</w:t>
            </w:r>
          </w:p>
        </w:tc>
        <w:tc>
          <w:tcPr>
            <w:tcW w:w="2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E7C57">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专项使用期</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50193">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2024年</w:t>
            </w:r>
          </w:p>
        </w:tc>
      </w:tr>
      <w:tr w14:paraId="2202AFC2">
        <w:tblPrEx>
          <w:tblCellMar>
            <w:top w:w="0" w:type="dxa"/>
            <w:left w:w="0" w:type="dxa"/>
            <w:bottom w:w="0" w:type="dxa"/>
            <w:right w:w="0" w:type="dxa"/>
          </w:tblCellMar>
        </w:tblPrEx>
        <w:trPr>
          <w:trHeight w:val="364" w:hRule="atLeast"/>
        </w:trPr>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9D0E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省级财政部门</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0C9E5">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自治区财政厅</w:t>
            </w:r>
          </w:p>
        </w:tc>
        <w:tc>
          <w:tcPr>
            <w:tcW w:w="2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E401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省级主管部门</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C98E8">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自治区农业农村厅</w:t>
            </w:r>
          </w:p>
        </w:tc>
      </w:tr>
      <w:tr w14:paraId="0AC7239C">
        <w:tblPrEx>
          <w:tblCellMar>
            <w:top w:w="0" w:type="dxa"/>
            <w:left w:w="0" w:type="dxa"/>
            <w:bottom w:w="0" w:type="dxa"/>
            <w:right w:w="0" w:type="dxa"/>
          </w:tblCellMar>
        </w:tblPrEx>
        <w:trPr>
          <w:trHeight w:val="364" w:hRule="atLeast"/>
        </w:trPr>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D7726">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县级财政部门</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0C63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原州区财政局</w:t>
            </w:r>
          </w:p>
        </w:tc>
        <w:tc>
          <w:tcPr>
            <w:tcW w:w="2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03A64">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县级主管部门</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CDA16">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原州区农业农村局</w:t>
            </w:r>
          </w:p>
        </w:tc>
      </w:tr>
      <w:tr w14:paraId="7AB2D49C">
        <w:tblPrEx>
          <w:tblCellMar>
            <w:top w:w="0" w:type="dxa"/>
            <w:left w:w="0" w:type="dxa"/>
            <w:bottom w:w="0" w:type="dxa"/>
            <w:right w:w="0" w:type="dxa"/>
          </w:tblCellMar>
        </w:tblPrEx>
        <w:trPr>
          <w:trHeight w:val="364" w:hRule="atLeast"/>
        </w:trPr>
        <w:tc>
          <w:tcPr>
            <w:tcW w:w="168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DD232">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资金</w:t>
            </w:r>
          </w:p>
          <w:p w14:paraId="6B658D50">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情况</w:t>
            </w:r>
          </w:p>
          <w:p w14:paraId="31EB19C1">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（万元）</w:t>
            </w: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7E1B3">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年度金额</w:t>
            </w:r>
          </w:p>
        </w:tc>
        <w:tc>
          <w:tcPr>
            <w:tcW w:w="52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A48AD">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r>
      <w:tr w14:paraId="525A0BC1">
        <w:tblPrEx>
          <w:tblCellMar>
            <w:top w:w="0" w:type="dxa"/>
            <w:left w:w="0" w:type="dxa"/>
            <w:bottom w:w="0" w:type="dxa"/>
            <w:right w:w="0" w:type="dxa"/>
          </w:tblCellMar>
        </w:tblPrEx>
        <w:trPr>
          <w:trHeight w:val="364" w:hRule="atLeast"/>
        </w:trPr>
        <w:tc>
          <w:tcPr>
            <w:tcW w:w="16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3549E">
            <w:pPr>
              <w:jc w:val="center"/>
              <w:rPr>
                <w:rFonts w:ascii="仿宋_GB2312" w:hAnsi="仿宋_GB2312" w:eastAsia="仿宋_GB2312" w:cs="仿宋_GB2312"/>
                <w:color w:val="000000"/>
                <w:sz w:val="20"/>
                <w:szCs w:val="20"/>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1F342">
            <w:pPr>
              <w:widowControl/>
              <w:ind w:firstLine="800" w:firstLineChars="40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其中：中央资金</w:t>
            </w:r>
          </w:p>
        </w:tc>
        <w:tc>
          <w:tcPr>
            <w:tcW w:w="520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57E1E38">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bidi="ar"/>
              </w:rPr>
              <w:t>2</w:t>
            </w:r>
          </w:p>
        </w:tc>
      </w:tr>
      <w:tr w14:paraId="35087FC7">
        <w:tblPrEx>
          <w:tblCellMar>
            <w:top w:w="0" w:type="dxa"/>
            <w:left w:w="0" w:type="dxa"/>
            <w:bottom w:w="0" w:type="dxa"/>
            <w:right w:w="0" w:type="dxa"/>
          </w:tblCellMar>
        </w:tblPrEx>
        <w:trPr>
          <w:trHeight w:val="364" w:hRule="atLeast"/>
        </w:trPr>
        <w:tc>
          <w:tcPr>
            <w:tcW w:w="16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1DAE8">
            <w:pPr>
              <w:jc w:val="center"/>
              <w:rPr>
                <w:rFonts w:ascii="仿宋_GB2312" w:hAnsi="仿宋_GB2312" w:eastAsia="仿宋_GB2312" w:cs="仿宋_GB2312"/>
                <w:color w:val="000000"/>
                <w:sz w:val="20"/>
                <w:szCs w:val="20"/>
              </w:rPr>
            </w:pPr>
          </w:p>
        </w:tc>
        <w:tc>
          <w:tcPr>
            <w:tcW w:w="23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7D06C">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              地方资金</w:t>
            </w:r>
          </w:p>
        </w:tc>
        <w:tc>
          <w:tcPr>
            <w:tcW w:w="520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3866B">
            <w:pPr>
              <w:jc w:val="center"/>
              <w:rPr>
                <w:rFonts w:hint="eastAsia" w:ascii="仿宋_GB2312" w:hAnsi="仿宋_GB2312" w:eastAsia="仿宋_GB2312" w:cs="仿宋_GB2312"/>
                <w:color w:val="000000"/>
                <w:sz w:val="20"/>
                <w:szCs w:val="20"/>
                <w:lang w:eastAsia="zh-CN"/>
              </w:rPr>
            </w:pPr>
            <w:bookmarkStart w:id="0" w:name="_GoBack"/>
            <w:bookmarkEnd w:id="0"/>
          </w:p>
        </w:tc>
      </w:tr>
      <w:tr w14:paraId="68024475">
        <w:tblPrEx>
          <w:tblCellMar>
            <w:top w:w="0" w:type="dxa"/>
            <w:left w:w="0" w:type="dxa"/>
            <w:bottom w:w="0" w:type="dxa"/>
            <w:right w:w="0" w:type="dxa"/>
          </w:tblCellMar>
        </w:tblPrEx>
        <w:trPr>
          <w:trHeight w:val="1239" w:hRule="atLeast"/>
        </w:trPr>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AC505">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年度</w:t>
            </w:r>
          </w:p>
          <w:p w14:paraId="78050E7B">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总体</w:t>
            </w:r>
          </w:p>
          <w:p w14:paraId="75097154">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目标</w:t>
            </w:r>
          </w:p>
        </w:tc>
        <w:tc>
          <w:tcPr>
            <w:tcW w:w="757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D8C0B">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   兑付2023年申报并通过审核的5家建设主体结算资金，涉及企业1家、专业合作社3家、个体经营户1家，结算资金共计2万元</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val="en-US" w:eastAsia="zh-CN" w:bidi="ar"/>
              </w:rPr>
              <w:t>全部为中央财政支农资金</w:t>
            </w:r>
            <w:r>
              <w:rPr>
                <w:rFonts w:hint="eastAsia" w:ascii="仿宋_GB2312" w:hAnsi="仿宋_GB2312" w:eastAsia="仿宋_GB2312" w:cs="仿宋_GB2312"/>
                <w:color w:val="000000"/>
                <w:kern w:val="0"/>
                <w:sz w:val="20"/>
                <w:szCs w:val="20"/>
                <w:lang w:bidi="ar"/>
              </w:rPr>
              <w:t>。</w:t>
            </w:r>
          </w:p>
        </w:tc>
      </w:tr>
      <w:tr w14:paraId="525DFFF4">
        <w:tblPrEx>
          <w:tblCellMar>
            <w:top w:w="0" w:type="dxa"/>
            <w:left w:w="0" w:type="dxa"/>
            <w:bottom w:w="0" w:type="dxa"/>
            <w:right w:w="0" w:type="dxa"/>
          </w:tblCellMar>
        </w:tblPrEx>
        <w:trPr>
          <w:trHeight w:val="813" w:hRule="atLeast"/>
        </w:trPr>
        <w:tc>
          <w:tcPr>
            <w:tcW w:w="65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A091AC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绩效</w:t>
            </w:r>
          </w:p>
          <w:p w14:paraId="0A5498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w:t>
            </w:r>
          </w:p>
        </w:tc>
        <w:tc>
          <w:tcPr>
            <w:tcW w:w="1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87784">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一级指标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DE748">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二级指标</w:t>
            </w:r>
          </w:p>
        </w:tc>
        <w:tc>
          <w:tcPr>
            <w:tcW w:w="3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E974F">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三级指标</w:t>
            </w:r>
          </w:p>
        </w:tc>
        <w:tc>
          <w:tcPr>
            <w:tcW w:w="25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FAFF3">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指标值</w:t>
            </w:r>
          </w:p>
        </w:tc>
      </w:tr>
      <w:tr w14:paraId="24359A5A">
        <w:tblPrEx>
          <w:tblCellMar>
            <w:top w:w="0" w:type="dxa"/>
            <w:left w:w="0" w:type="dxa"/>
            <w:bottom w:w="0" w:type="dxa"/>
            <w:right w:w="0" w:type="dxa"/>
          </w:tblCellMar>
        </w:tblPrEx>
        <w:trPr>
          <w:trHeight w:val="684" w:hRule="atLeast"/>
        </w:trPr>
        <w:tc>
          <w:tcPr>
            <w:tcW w:w="657" w:type="dxa"/>
            <w:vMerge w:val="continue"/>
            <w:tcBorders>
              <w:left w:val="single" w:color="000000" w:sz="4" w:space="0"/>
              <w:right w:val="single" w:color="000000" w:sz="4" w:space="0"/>
            </w:tcBorders>
            <w:tcMar>
              <w:top w:w="15" w:type="dxa"/>
              <w:left w:w="15" w:type="dxa"/>
              <w:right w:w="15" w:type="dxa"/>
            </w:tcMar>
            <w:vAlign w:val="center"/>
          </w:tcPr>
          <w:p w14:paraId="7B310516">
            <w:pPr>
              <w:jc w:val="center"/>
              <w:rPr>
                <w:rFonts w:ascii="宋体" w:hAnsi="宋体" w:eastAsia="宋体" w:cs="宋体"/>
                <w:color w:val="000000"/>
                <w:sz w:val="20"/>
                <w:szCs w:val="20"/>
              </w:rPr>
            </w:pPr>
          </w:p>
        </w:tc>
        <w:tc>
          <w:tcPr>
            <w:tcW w:w="10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D07D8">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产出</w:t>
            </w:r>
          </w:p>
          <w:p w14:paraId="7D429DD7">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指标</w:t>
            </w:r>
          </w:p>
        </w:tc>
        <w:tc>
          <w:tcPr>
            <w:tcW w:w="158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FAE4008">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数量指标</w:t>
            </w:r>
          </w:p>
        </w:tc>
        <w:tc>
          <w:tcPr>
            <w:tcW w:w="3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B67B8">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建设主体</w:t>
            </w:r>
          </w:p>
        </w:tc>
        <w:tc>
          <w:tcPr>
            <w:tcW w:w="25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6DE94">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5家</w:t>
            </w:r>
          </w:p>
        </w:tc>
      </w:tr>
      <w:tr w14:paraId="532C3B86">
        <w:tblPrEx>
          <w:tblCellMar>
            <w:top w:w="0" w:type="dxa"/>
            <w:left w:w="0" w:type="dxa"/>
            <w:bottom w:w="0" w:type="dxa"/>
            <w:right w:w="0" w:type="dxa"/>
          </w:tblCellMar>
        </w:tblPrEx>
        <w:trPr>
          <w:trHeight w:val="1118" w:hRule="atLeast"/>
        </w:trPr>
        <w:tc>
          <w:tcPr>
            <w:tcW w:w="657" w:type="dxa"/>
            <w:vMerge w:val="continue"/>
            <w:tcBorders>
              <w:left w:val="single" w:color="000000" w:sz="4" w:space="0"/>
              <w:right w:val="single" w:color="000000" w:sz="4" w:space="0"/>
            </w:tcBorders>
            <w:tcMar>
              <w:top w:w="15" w:type="dxa"/>
              <w:left w:w="15" w:type="dxa"/>
              <w:right w:w="15" w:type="dxa"/>
            </w:tcMar>
            <w:vAlign w:val="center"/>
          </w:tcPr>
          <w:p w14:paraId="3D462EB3">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487A6364">
            <w:pPr>
              <w:jc w:val="center"/>
              <w:rPr>
                <w:rFonts w:ascii="仿宋_GB2312" w:hAnsi="仿宋_GB2312" w:eastAsia="仿宋_GB2312" w:cs="仿宋_GB2312"/>
                <w:color w:val="000000"/>
                <w:sz w:val="20"/>
                <w:szCs w:val="20"/>
              </w:rPr>
            </w:pPr>
          </w:p>
        </w:tc>
        <w:tc>
          <w:tcPr>
            <w:tcW w:w="158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1A43CF6B">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质量指标</w:t>
            </w:r>
          </w:p>
        </w:tc>
        <w:tc>
          <w:tcPr>
            <w:tcW w:w="3404"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14:paraId="3678F86A">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贴息利率</w:t>
            </w:r>
          </w:p>
        </w:tc>
        <w:tc>
          <w:tcPr>
            <w:tcW w:w="2581"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9DECB5B">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2%≥贴息利率≥70%同期同档次LPR</w:t>
            </w:r>
          </w:p>
        </w:tc>
      </w:tr>
      <w:tr w14:paraId="30B5B4E7">
        <w:tblPrEx>
          <w:tblCellMar>
            <w:top w:w="0" w:type="dxa"/>
            <w:left w:w="0" w:type="dxa"/>
            <w:bottom w:w="0" w:type="dxa"/>
            <w:right w:w="0" w:type="dxa"/>
          </w:tblCellMar>
        </w:tblPrEx>
        <w:trPr>
          <w:trHeight w:val="809" w:hRule="atLeast"/>
        </w:trPr>
        <w:tc>
          <w:tcPr>
            <w:tcW w:w="657" w:type="dxa"/>
            <w:vMerge w:val="continue"/>
            <w:tcBorders>
              <w:left w:val="single" w:color="000000" w:sz="4" w:space="0"/>
              <w:right w:val="single" w:color="000000" w:sz="4" w:space="0"/>
            </w:tcBorders>
            <w:tcMar>
              <w:top w:w="15" w:type="dxa"/>
              <w:left w:w="15" w:type="dxa"/>
              <w:right w:w="15" w:type="dxa"/>
            </w:tcMar>
            <w:vAlign w:val="center"/>
          </w:tcPr>
          <w:p w14:paraId="24BEB0A9">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C0315">
            <w:pPr>
              <w:jc w:val="center"/>
              <w:rPr>
                <w:rFonts w:ascii="仿宋_GB2312" w:hAnsi="仿宋_GB2312" w:eastAsia="仿宋_GB2312" w:cs="仿宋_GB2312"/>
                <w:color w:val="000000"/>
                <w:sz w:val="20"/>
                <w:szCs w:val="20"/>
              </w:rPr>
            </w:pPr>
          </w:p>
        </w:tc>
        <w:tc>
          <w:tcPr>
            <w:tcW w:w="1586" w:type="dxa"/>
            <w:tcBorders>
              <w:top w:val="single" w:color="000000" w:sz="4" w:space="0"/>
              <w:left w:val="single" w:color="000000" w:sz="4" w:space="0"/>
              <w:right w:val="single" w:color="000000" w:sz="4" w:space="0"/>
            </w:tcBorders>
            <w:tcMar>
              <w:top w:w="15" w:type="dxa"/>
              <w:left w:w="15" w:type="dxa"/>
              <w:right w:w="15" w:type="dxa"/>
            </w:tcMar>
            <w:vAlign w:val="center"/>
          </w:tcPr>
          <w:p w14:paraId="105F259B">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时效指标</w:t>
            </w:r>
          </w:p>
        </w:tc>
        <w:tc>
          <w:tcPr>
            <w:tcW w:w="3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27125">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12月31日前项目资金支付率</w:t>
            </w:r>
          </w:p>
        </w:tc>
        <w:tc>
          <w:tcPr>
            <w:tcW w:w="25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B5703">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100%</w:t>
            </w:r>
          </w:p>
        </w:tc>
      </w:tr>
      <w:tr w14:paraId="31B32599">
        <w:tblPrEx>
          <w:tblCellMar>
            <w:top w:w="0" w:type="dxa"/>
            <w:left w:w="0" w:type="dxa"/>
            <w:bottom w:w="0" w:type="dxa"/>
            <w:right w:w="0" w:type="dxa"/>
          </w:tblCellMar>
        </w:tblPrEx>
        <w:trPr>
          <w:trHeight w:val="694" w:hRule="atLeast"/>
        </w:trPr>
        <w:tc>
          <w:tcPr>
            <w:tcW w:w="657" w:type="dxa"/>
            <w:vMerge w:val="continue"/>
            <w:tcBorders>
              <w:left w:val="single" w:color="000000" w:sz="4" w:space="0"/>
              <w:right w:val="single" w:color="000000" w:sz="4" w:space="0"/>
            </w:tcBorders>
            <w:tcMar>
              <w:top w:w="15" w:type="dxa"/>
              <w:left w:w="15" w:type="dxa"/>
              <w:right w:w="15" w:type="dxa"/>
            </w:tcMar>
            <w:vAlign w:val="center"/>
          </w:tcPr>
          <w:p w14:paraId="24A72B69">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92E2A">
            <w:pPr>
              <w:jc w:val="center"/>
              <w:rPr>
                <w:rFonts w:ascii="仿宋_GB2312" w:hAnsi="仿宋_GB2312" w:eastAsia="仿宋_GB2312" w:cs="仿宋_GB2312"/>
                <w:color w:val="000000"/>
                <w:sz w:val="20"/>
                <w:szCs w:val="20"/>
              </w:rPr>
            </w:pPr>
          </w:p>
        </w:tc>
        <w:tc>
          <w:tcPr>
            <w:tcW w:w="158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8ACE4F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成本指标</w:t>
            </w:r>
          </w:p>
        </w:tc>
        <w:tc>
          <w:tcPr>
            <w:tcW w:w="3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98EAF">
            <w:pPr>
              <w:widowControl/>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kern w:val="0"/>
                <w:sz w:val="20"/>
                <w:szCs w:val="20"/>
                <w:lang w:val="en-US" w:eastAsia="zh-CN" w:bidi="ar"/>
              </w:rPr>
              <w:t>贴息资金总额</w:t>
            </w:r>
          </w:p>
        </w:tc>
        <w:tc>
          <w:tcPr>
            <w:tcW w:w="25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3A239">
            <w:pPr>
              <w:widowControl/>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kern w:val="0"/>
                <w:sz w:val="20"/>
                <w:szCs w:val="20"/>
                <w:lang w:val="en-US" w:eastAsia="zh-CN" w:bidi="ar"/>
              </w:rPr>
              <w:t>2万元</w:t>
            </w:r>
          </w:p>
        </w:tc>
      </w:tr>
      <w:tr w14:paraId="4C8D937F">
        <w:tblPrEx>
          <w:tblCellMar>
            <w:top w:w="0" w:type="dxa"/>
            <w:left w:w="0" w:type="dxa"/>
            <w:bottom w:w="0" w:type="dxa"/>
            <w:right w:w="0" w:type="dxa"/>
          </w:tblCellMar>
        </w:tblPrEx>
        <w:trPr>
          <w:trHeight w:val="831" w:hRule="atLeast"/>
        </w:trPr>
        <w:tc>
          <w:tcPr>
            <w:tcW w:w="657" w:type="dxa"/>
            <w:vMerge w:val="continue"/>
            <w:tcBorders>
              <w:left w:val="single" w:color="000000" w:sz="4" w:space="0"/>
              <w:right w:val="single" w:color="000000" w:sz="4" w:space="0"/>
            </w:tcBorders>
            <w:tcMar>
              <w:top w:w="15" w:type="dxa"/>
              <w:left w:w="15" w:type="dxa"/>
              <w:right w:w="15" w:type="dxa"/>
            </w:tcMar>
            <w:vAlign w:val="center"/>
          </w:tcPr>
          <w:p w14:paraId="40B61D99">
            <w:pPr>
              <w:jc w:val="center"/>
              <w:rPr>
                <w:rFonts w:ascii="宋体" w:hAnsi="宋体" w:eastAsia="宋体" w:cs="宋体"/>
                <w:color w:val="000000"/>
                <w:sz w:val="20"/>
                <w:szCs w:val="20"/>
              </w:rPr>
            </w:pPr>
          </w:p>
        </w:tc>
        <w:tc>
          <w:tcPr>
            <w:tcW w:w="103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59A4735">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经济</w:t>
            </w:r>
          </w:p>
          <w:p w14:paraId="2AAA80D1">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C8D1E">
            <w:pPr>
              <w:widowControl/>
              <w:jc w:val="center"/>
              <w:textAlignment w:val="center"/>
              <w:rPr>
                <w:rFonts w:hint="default"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经济效益指标</w:t>
            </w:r>
          </w:p>
        </w:tc>
        <w:tc>
          <w:tcPr>
            <w:tcW w:w="3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EA4C4">
            <w:pPr>
              <w:widowControl/>
              <w:jc w:val="center"/>
              <w:textAlignment w:val="center"/>
              <w:rPr>
                <w:rFonts w:hint="default"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建设主体的生产负担</w:t>
            </w:r>
          </w:p>
        </w:tc>
        <w:tc>
          <w:tcPr>
            <w:tcW w:w="25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3F07C">
            <w:pPr>
              <w:widowControl/>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减轻</w:t>
            </w:r>
          </w:p>
        </w:tc>
      </w:tr>
      <w:tr w14:paraId="03EF9F09">
        <w:tblPrEx>
          <w:tblCellMar>
            <w:top w:w="0" w:type="dxa"/>
            <w:left w:w="0" w:type="dxa"/>
            <w:bottom w:w="0" w:type="dxa"/>
            <w:right w:w="0" w:type="dxa"/>
          </w:tblCellMar>
        </w:tblPrEx>
        <w:trPr>
          <w:trHeight w:val="815" w:hRule="atLeast"/>
        </w:trPr>
        <w:tc>
          <w:tcPr>
            <w:tcW w:w="657" w:type="dxa"/>
            <w:vMerge w:val="continue"/>
            <w:tcBorders>
              <w:left w:val="single" w:color="000000" w:sz="4" w:space="0"/>
              <w:right w:val="single" w:color="000000" w:sz="4" w:space="0"/>
            </w:tcBorders>
            <w:tcMar>
              <w:top w:w="15" w:type="dxa"/>
              <w:left w:w="15" w:type="dxa"/>
              <w:right w:w="15" w:type="dxa"/>
            </w:tcMar>
            <w:vAlign w:val="center"/>
          </w:tcPr>
          <w:p w14:paraId="6E604FCB">
            <w:pPr>
              <w:jc w:val="center"/>
              <w:rPr>
                <w:rFonts w:ascii="宋体" w:hAnsi="宋体" w:eastAsia="宋体" w:cs="宋体"/>
                <w:color w:val="000000"/>
                <w:sz w:val="20"/>
                <w:szCs w:val="20"/>
              </w:rPr>
            </w:pPr>
          </w:p>
        </w:tc>
        <w:tc>
          <w:tcPr>
            <w:tcW w:w="1031" w:type="dxa"/>
            <w:vMerge w:val="continue"/>
            <w:tcBorders>
              <w:left w:val="single" w:color="000000" w:sz="4" w:space="0"/>
              <w:right w:val="single" w:color="000000" w:sz="4" w:space="0"/>
            </w:tcBorders>
            <w:tcMar>
              <w:top w:w="15" w:type="dxa"/>
              <w:left w:w="15" w:type="dxa"/>
              <w:right w:w="15" w:type="dxa"/>
            </w:tcMar>
            <w:vAlign w:val="center"/>
          </w:tcPr>
          <w:p w14:paraId="7FE204B8">
            <w:pPr>
              <w:widowControl/>
              <w:jc w:val="center"/>
              <w:textAlignment w:val="center"/>
              <w:rPr>
                <w:rFonts w:ascii="仿宋_GB2312" w:hAnsi="仿宋_GB2312" w:eastAsia="仿宋_GB2312" w:cs="仿宋_GB2312"/>
                <w:color w:val="000000"/>
                <w:kern w:val="0"/>
                <w:sz w:val="20"/>
                <w:szCs w:val="20"/>
                <w:lang w:bidi="ar"/>
              </w:rPr>
            </w:pPr>
          </w:p>
        </w:tc>
        <w:tc>
          <w:tcPr>
            <w:tcW w:w="1586" w:type="dxa"/>
            <w:tcBorders>
              <w:top w:val="single" w:color="000000" w:sz="4" w:space="0"/>
              <w:left w:val="single" w:color="000000" w:sz="4" w:space="0"/>
              <w:right w:val="single" w:color="000000" w:sz="4" w:space="0"/>
            </w:tcBorders>
            <w:tcMar>
              <w:top w:w="15" w:type="dxa"/>
              <w:left w:w="15" w:type="dxa"/>
              <w:right w:w="15" w:type="dxa"/>
            </w:tcMar>
            <w:vAlign w:val="center"/>
          </w:tcPr>
          <w:p w14:paraId="1CDC0F4A">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社会效益指标</w:t>
            </w:r>
          </w:p>
        </w:tc>
        <w:tc>
          <w:tcPr>
            <w:tcW w:w="3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35AE1">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建设主体生产积极性</w:t>
            </w:r>
          </w:p>
        </w:tc>
        <w:tc>
          <w:tcPr>
            <w:tcW w:w="25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25123">
            <w:pPr>
              <w:widowControl/>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提升</w:t>
            </w:r>
          </w:p>
        </w:tc>
      </w:tr>
      <w:tr w14:paraId="619D2FA2">
        <w:tblPrEx>
          <w:tblCellMar>
            <w:top w:w="0" w:type="dxa"/>
            <w:left w:w="0" w:type="dxa"/>
            <w:bottom w:w="0" w:type="dxa"/>
            <w:right w:w="0" w:type="dxa"/>
          </w:tblCellMar>
        </w:tblPrEx>
        <w:trPr>
          <w:trHeight w:val="685" w:hRule="atLeast"/>
        </w:trPr>
        <w:tc>
          <w:tcPr>
            <w:tcW w:w="657" w:type="dxa"/>
            <w:vMerge w:val="continue"/>
            <w:tcBorders>
              <w:left w:val="single" w:color="000000" w:sz="4" w:space="0"/>
              <w:right w:val="single" w:color="000000" w:sz="4" w:space="0"/>
            </w:tcBorders>
            <w:tcMar>
              <w:top w:w="15" w:type="dxa"/>
              <w:left w:w="15" w:type="dxa"/>
              <w:right w:w="15" w:type="dxa"/>
            </w:tcMar>
            <w:vAlign w:val="center"/>
          </w:tcPr>
          <w:p w14:paraId="4B041D73">
            <w:pPr>
              <w:jc w:val="center"/>
              <w:rPr>
                <w:rFonts w:ascii="宋体" w:hAnsi="宋体" w:eastAsia="宋体" w:cs="宋体"/>
                <w:color w:val="000000"/>
                <w:sz w:val="20"/>
                <w:szCs w:val="20"/>
              </w:rPr>
            </w:pPr>
          </w:p>
        </w:tc>
        <w:tc>
          <w:tcPr>
            <w:tcW w:w="10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A9ED7">
            <w:pPr>
              <w:jc w:val="center"/>
              <w:rPr>
                <w:rFonts w:ascii="仿宋_GB2312" w:hAnsi="仿宋_GB2312" w:eastAsia="仿宋_GB2312" w:cs="仿宋_GB2312"/>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C84AE">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可持续影响指标</w:t>
            </w:r>
          </w:p>
        </w:tc>
        <w:tc>
          <w:tcPr>
            <w:tcW w:w="3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AFAAC">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全区现代设施农业生产规模</w:t>
            </w:r>
          </w:p>
        </w:tc>
        <w:tc>
          <w:tcPr>
            <w:tcW w:w="25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F953E">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扩大</w:t>
            </w:r>
          </w:p>
        </w:tc>
      </w:tr>
      <w:tr w14:paraId="4225EB6F">
        <w:tblPrEx>
          <w:tblCellMar>
            <w:top w:w="0" w:type="dxa"/>
            <w:left w:w="0" w:type="dxa"/>
            <w:bottom w:w="0" w:type="dxa"/>
            <w:right w:w="0" w:type="dxa"/>
          </w:tblCellMar>
        </w:tblPrEx>
        <w:trPr>
          <w:trHeight w:val="685" w:hRule="atLeast"/>
        </w:trPr>
        <w:tc>
          <w:tcPr>
            <w:tcW w:w="65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42EBA31">
            <w:pPr>
              <w:jc w:val="center"/>
              <w:rPr>
                <w:rFonts w:ascii="宋体" w:hAnsi="宋体" w:eastAsia="宋体" w:cs="宋体"/>
                <w:color w:val="000000"/>
                <w:sz w:val="20"/>
                <w:szCs w:val="20"/>
              </w:rPr>
            </w:pPr>
          </w:p>
        </w:tc>
        <w:tc>
          <w:tcPr>
            <w:tcW w:w="1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611A5">
            <w:pPr>
              <w:tabs>
                <w:tab w:val="left" w:pos="423"/>
              </w:tabs>
              <w:jc w:val="both"/>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满意度指标</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2D2C1">
            <w:pPr>
              <w:tabs>
                <w:tab w:val="left" w:pos="329"/>
              </w:tabs>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服务对象</w:t>
            </w:r>
          </w:p>
          <w:p w14:paraId="4F78E123">
            <w:pPr>
              <w:tabs>
                <w:tab w:val="left" w:pos="329"/>
              </w:tabs>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满意度指标</w:t>
            </w:r>
          </w:p>
        </w:tc>
        <w:tc>
          <w:tcPr>
            <w:tcW w:w="3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6BA71">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建设主体满意度</w:t>
            </w:r>
          </w:p>
        </w:tc>
        <w:tc>
          <w:tcPr>
            <w:tcW w:w="25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2A031">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≥95%</w:t>
            </w:r>
          </w:p>
        </w:tc>
      </w:tr>
    </w:tbl>
    <w:p w14:paraId="25C88D18"/>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宋简">
    <w:altName w:val="宋体"/>
    <w:panose1 w:val="00000000000000000000"/>
    <w:charset w:val="86"/>
    <w:family w:val="auto"/>
    <w:pitch w:val="default"/>
    <w:sig w:usb0="00000000" w:usb1="00000000" w:usb2="00000002"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60160">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2F847">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- 1 -</w:t>
                          </w:r>
                          <w:r>
                            <w:rPr>
                              <w:rFonts w:hint="eastAsia" w:ascii="仿宋_GB2312" w:hAnsi="仿宋_GB2312" w:eastAsia="仿宋_GB2312" w:cs="仿宋_GB2312"/>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1C2F847">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- 1 -</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9F48">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85AA">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8321B"/>
    <w:multiLevelType w:val="multilevel"/>
    <w:tmpl w:val="0AD8321B"/>
    <w:lvl w:ilvl="0" w:tentative="0">
      <w:start w:val="1"/>
      <w:numFmt w:val="decimal"/>
      <w:lvlText w:val="%1."/>
      <w:lvlJc w:val="left"/>
      <w:pPr>
        <w:ind w:left="1060" w:hanging="4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32C5D13C"/>
    <w:multiLevelType w:val="singleLevel"/>
    <w:tmpl w:val="32C5D13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2E0YWMwMTY2NDNhOGQwZGQ5OGM1Y2Q0ZjFiMDAifQ=="/>
  </w:docVars>
  <w:rsids>
    <w:rsidRoot w:val="49AC1548"/>
    <w:rsid w:val="08E32BEA"/>
    <w:rsid w:val="167F0FB1"/>
    <w:rsid w:val="227D55A4"/>
    <w:rsid w:val="2DD96788"/>
    <w:rsid w:val="49AC1548"/>
    <w:rsid w:val="69D020C8"/>
    <w:rsid w:val="772C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5556</Words>
  <Characters>5867</Characters>
  <Lines>0</Lines>
  <Paragraphs>0</Paragraphs>
  <TotalTime>55</TotalTime>
  <ScaleCrop>false</ScaleCrop>
  <LinksUpToDate>false</LinksUpToDate>
  <CharactersWithSpaces>5888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2024-11-08T06:23:00Z</dcterms:created>
  <dc:creator>恶灵骑士</dc:creator>
  <cp:lastModifiedBy>恶灵骑士</cp:lastModifiedBy>
  <cp:lastPrinted>2024-11-13T08:57:00Z</cp:lastPrinted>
  <dcterms:modified xsi:type="dcterms:W3CDTF">2024-11-14T02:02:52Z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86CE6070E1C341A6A9649A1149B87963_11</vt:lpwstr>
  </property>
</Properties>
</file>