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00" w:firstLineChars="1000"/>
        <w:jc w:val="both"/>
        <w:textAlignment w:val="auto"/>
        <w:outlineLvl w:val="9"/>
        <w:rPr>
          <w:rFonts w:ascii="方正小标宋简体" w:eastAsia="方正小标宋简体"/>
          <w:sz w:val="44"/>
          <w:szCs w:val="44"/>
        </w:rPr>
      </w:pPr>
      <w:r>
        <w:rPr>
          <w:rFonts w:hint="eastAsia" w:ascii="方正小标宋简体" w:eastAsia="方正小标宋简体"/>
          <w:sz w:val="44"/>
          <w:szCs w:val="44"/>
          <w:lang w:eastAsia="zh-CN"/>
        </w:rPr>
        <w:t>原州区</w:t>
      </w:r>
      <w:r>
        <w:rPr>
          <w:rFonts w:hint="eastAsia" w:ascii="方正小标宋简体" w:eastAsia="方正小标宋简体"/>
          <w:sz w:val="44"/>
          <w:szCs w:val="44"/>
        </w:rPr>
        <w:t>行政裁决事项清单</w:t>
      </w:r>
    </w:p>
    <w:p>
      <w:pPr>
        <w:keepNext w:val="0"/>
        <w:keepLines w:val="0"/>
        <w:pageBreakBefore w:val="0"/>
        <w:widowControl w:val="0"/>
        <w:kinsoku/>
        <w:wordWrap/>
        <w:overflowPunct/>
        <w:topLinePunct w:val="0"/>
        <w:autoSpaceDE/>
        <w:autoSpaceDN/>
        <w:bidi w:val="0"/>
        <w:adjustRightInd/>
        <w:snapToGrid/>
        <w:spacing w:after="158" w:afterLines="50" w:line="600" w:lineRule="exact"/>
        <w:ind w:left="0" w:leftChars="0" w:right="0" w:rightChars="0" w:firstLine="0" w:firstLineChars="0"/>
        <w:jc w:val="both"/>
        <w:textAlignment w:val="auto"/>
        <w:outlineLvl w:val="9"/>
        <w:rPr>
          <w:rFonts w:hint="eastAsia" w:ascii="黑体" w:hAnsi="黑体" w:eastAsia="黑体" w:cs="黑体"/>
          <w:b/>
          <w:bCs/>
          <w:sz w:val="28"/>
          <w:szCs w:val="28"/>
        </w:rPr>
      </w:pPr>
      <w:bookmarkStart w:id="0" w:name="_Hlk14774879"/>
      <w:r>
        <w:rPr>
          <w:rFonts w:hint="eastAsia" w:ascii="黑体" w:hAnsi="黑体" w:eastAsia="黑体" w:cs="黑体"/>
          <w:b/>
          <w:bCs/>
          <w:sz w:val="28"/>
          <w:szCs w:val="28"/>
          <w:lang w:val="en-US" w:eastAsia="zh-CN"/>
        </w:rPr>
        <w:t xml:space="preserve">                         （一）</w:t>
      </w:r>
      <w:r>
        <w:rPr>
          <w:rFonts w:hint="eastAsia" w:ascii="黑体" w:hAnsi="黑体" w:eastAsia="黑体" w:cs="黑体"/>
          <w:b/>
          <w:bCs/>
          <w:sz w:val="28"/>
          <w:szCs w:val="28"/>
          <w:lang w:eastAsia="zh-CN"/>
        </w:rPr>
        <w:t>区人民政府</w:t>
      </w:r>
      <w:r>
        <w:rPr>
          <w:rFonts w:hint="eastAsia" w:ascii="黑体" w:hAnsi="黑体" w:eastAsia="黑体" w:cs="黑体"/>
          <w:b/>
          <w:bCs/>
          <w:sz w:val="28"/>
          <w:szCs w:val="28"/>
        </w:rPr>
        <w:t>、乡</w:t>
      </w:r>
      <w:r>
        <w:rPr>
          <w:rFonts w:hint="eastAsia" w:ascii="黑体" w:hAnsi="黑体" w:eastAsia="黑体" w:cs="黑体"/>
          <w:b/>
          <w:bCs/>
          <w:sz w:val="28"/>
          <w:szCs w:val="28"/>
          <w:lang w:eastAsia="zh-CN"/>
        </w:rPr>
        <w:t>镇</w:t>
      </w:r>
      <w:r>
        <w:rPr>
          <w:rFonts w:hint="eastAsia" w:ascii="黑体" w:hAnsi="黑体" w:eastAsia="黑体" w:cs="黑体"/>
          <w:b/>
          <w:bCs/>
          <w:sz w:val="28"/>
          <w:szCs w:val="28"/>
        </w:rPr>
        <w:t>人民政府行政裁决事项</w:t>
      </w:r>
      <w:r>
        <w:rPr>
          <w:rFonts w:hint="eastAsia" w:ascii="黑体" w:hAnsi="黑体" w:eastAsia="黑体" w:cs="黑体"/>
          <w:b/>
          <w:bCs/>
          <w:sz w:val="28"/>
          <w:szCs w:val="28"/>
          <w:lang w:eastAsia="zh-CN"/>
        </w:rPr>
        <w:t>清单</w:t>
      </w:r>
    </w:p>
    <w:tbl>
      <w:tblPr>
        <w:tblStyle w:val="6"/>
        <w:tblW w:w="1386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15"/>
        <w:gridCol w:w="7846"/>
        <w:gridCol w:w="1529"/>
        <w:gridCol w:w="1096"/>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rPr>
                <w:b/>
                <w:bCs/>
              </w:rPr>
            </w:pPr>
          </w:p>
          <w:p>
            <w:pPr>
              <w:rPr>
                <w:b/>
                <w:bCs/>
              </w:rPr>
            </w:pPr>
          </w:p>
        </w:tc>
        <w:tc>
          <w:tcPr>
            <w:tcW w:w="9361" w:type="dxa"/>
            <w:gridSpan w:val="2"/>
            <w:tcBorders>
              <w:top w:val="single" w:color="auto" w:sz="4" w:space="0"/>
              <w:left w:val="single" w:color="auto" w:sz="4" w:space="0"/>
              <w:bottom w:val="single" w:color="auto" w:sz="4" w:space="0"/>
              <w:right w:val="single" w:color="auto" w:sz="4" w:space="0"/>
            </w:tcBorders>
            <w:vAlign w:val="center"/>
          </w:tcPr>
          <w:p>
            <w:pPr>
              <w:ind w:firstLine="2740" w:firstLineChars="1300"/>
              <w:rPr>
                <w:b/>
                <w:bCs/>
              </w:rPr>
            </w:pPr>
            <w:r>
              <w:rPr>
                <w:rFonts w:hint="eastAsia" w:eastAsia="宋体"/>
                <w:b/>
                <w:bCs/>
                <w:lang w:val="en-US" w:eastAsia="zh-CN"/>
              </w:rPr>
              <w:t xml:space="preserve">        </w:t>
            </w:r>
            <w:r>
              <w:rPr>
                <w:rFonts w:hint="eastAsia"/>
                <w:b/>
                <w:bCs/>
              </w:rPr>
              <w:t>设立依据</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行政裁决机关</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承办机关</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eastAsia="宋体"/>
                <w:b/>
                <w:bCs/>
                <w:lang w:eastAsia="zh-CN"/>
              </w:rPr>
              <w:t>实施</w:t>
            </w:r>
            <w:r>
              <w:rPr>
                <w:rFonts w:hint="eastAsia"/>
                <w:b/>
                <w:bCs/>
              </w:rPr>
              <w:t>依据</w:t>
            </w:r>
          </w:p>
        </w:tc>
        <w:tc>
          <w:tcPr>
            <w:tcW w:w="784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具体条款及内容</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1.土地权属争议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《中华人民共和国土地管理法》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w:t>
            </w:r>
            <w:r>
              <w:rPr>
                <w:rFonts w:hint="eastAsia" w:ascii="仿宋_GB2312" w:hAnsi="仿宋_GB2312" w:eastAsia="仿宋_GB2312" w:cs="仿宋_GB2312"/>
                <w:lang w:eastAsia="zh-CN"/>
              </w:rPr>
              <w:t>四</w:t>
            </w:r>
            <w:r>
              <w:rPr>
                <w:rFonts w:hint="eastAsia" w:ascii="仿宋_GB2312" w:hAnsi="仿宋_GB2312" w:eastAsia="仿宋_GB2312" w:cs="仿宋_GB2312"/>
              </w:rPr>
              <w:t>条  土地所有权和使用权争议，由当事人协商解决；协商不成的，由人民政府处理。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单位之间的争议，由县级以上人民政处理；个人之间、个人与单位之间的争议，由乡级人民政府或者县级以上人民政府处理。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当事对有关人民政府的处理决定不服的，可以自接到处决定通知之日起三十日内，向人民法院起诉。</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在土地所有权和使用权争议解决前，任何一方不得改变土地利用现状。</w:t>
            </w:r>
          </w:p>
        </w:tc>
        <w:tc>
          <w:tcPr>
            <w:tcW w:w="1529"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w:t>
            </w:r>
            <w:r>
              <w:rPr>
                <w:rFonts w:hint="eastAsia" w:ascii="仿宋_GB2312" w:hAnsi="仿宋_GB2312" w:eastAsia="仿宋_GB2312" w:cs="仿宋_GB2312"/>
                <w:lang w:eastAsia="zh-CN"/>
              </w:rPr>
              <w:t>局</w:t>
            </w:r>
          </w:p>
        </w:tc>
        <w:tc>
          <w:tcPr>
            <w:tcW w:w="721"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《土地权属争议调查处理办法》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第四条 县级以上国土资源行政主管部门负责土地权属争议案件（以下简称争议案件）的调查和调解工作：对需要依法作出处理决定的，拟定处理意见，报同级人民政府作出处理决定。</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县级以上国土资源行政主管部门可以指定专门机构或者人员负责办理争议案件有关事宜。</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第九条 当事人发生土地权属争议，经协商不能解决的，可以依法向县级以上人</w:t>
            </w:r>
            <w:bookmarkStart w:id="1" w:name="_GoBack"/>
            <w:bookmarkEnd w:id="1"/>
            <w:r>
              <w:rPr>
                <w:rFonts w:hint="eastAsia" w:ascii="仿宋_GB2312" w:hAnsi="仿宋_GB2312" w:eastAsia="仿宋_GB2312" w:cs="仿宋_GB2312"/>
              </w:rPr>
              <w:t>民政府或者乡级人民政府提出处理申请，也可以依照本办法第五、六、七、八条的规定，向有关的国土资源行政主管部门提出调查处理申请。</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第三十条 国土资源行政主管部门提出调查处理意见后，应当在5个工作日内报送同级人民政府，由人民政府下达处理决定。</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国土资源行政主管每门的调查处理意见在报同级人民政府的同时，抄报上一级国土资源行主管部门。</w:t>
            </w:r>
          </w:p>
          <w:p>
            <w:pPr>
              <w:ind w:firstLine="420" w:firstLineChars="200"/>
              <w:jc w:val="both"/>
              <w:rPr>
                <w:rFonts w:hint="eastAsia" w:ascii="仿宋_GB2312" w:hAnsi="仿宋_GB2312" w:eastAsia="仿宋_GB2312" w:cs="仿宋_GB2312"/>
                <w:b w:val="0"/>
                <w:i w:val="0"/>
                <w:snapToGrid/>
                <w:color w:val="auto"/>
                <w:sz w:val="21"/>
                <w:szCs w:val="21"/>
                <w:shd w:val="clear" w:color="auto" w:fill="FFFFFF"/>
                <w:lang w:eastAsia="zh-CN"/>
              </w:rPr>
            </w:pPr>
            <w:r>
              <w:rPr>
                <w:rFonts w:hint="eastAsia" w:ascii="仿宋_GB2312" w:hAnsi="仿宋_GB2312" w:eastAsia="仿宋_GB2312" w:cs="仿宋_GB2312"/>
                <w:b w:val="0"/>
                <w:bCs w:val="0"/>
                <w:i w:val="0"/>
                <w:snapToGrid/>
                <w:color w:val="auto"/>
                <w:sz w:val="21"/>
                <w:szCs w:val="21"/>
                <w:shd w:val="clear" w:color="auto" w:fill="FFFFFF"/>
                <w:lang w:eastAsia="zh-CN"/>
              </w:rPr>
              <w:t>第三十一条</w:t>
            </w:r>
            <w:r>
              <w:rPr>
                <w:rFonts w:hint="eastAsia" w:ascii="仿宋_GB2312" w:hAnsi="仿宋_GB2312" w:eastAsia="仿宋_GB2312" w:cs="仿宋_GB2312"/>
                <w:b w:val="0"/>
                <w:i w:val="0"/>
                <w:snapToGrid/>
                <w:color w:val="auto"/>
                <w:sz w:val="21"/>
                <w:szCs w:val="21"/>
                <w:shd w:val="clear" w:color="auto" w:fill="FFFFFF"/>
                <w:lang w:eastAsia="zh-CN"/>
              </w:rPr>
              <w:t xml:space="preserve"> 当事人对人民政府作出的处理决定不服的，可以依法行申请政复议或者提起行政诉讼。</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b w:val="0"/>
                <w:i w:val="0"/>
                <w:snapToGrid/>
                <w:color w:val="auto"/>
                <w:sz w:val="21"/>
                <w:szCs w:val="21"/>
                <w:shd w:val="clear" w:color="auto" w:fill="FFFFFF"/>
                <w:lang w:eastAsia="zh-CN"/>
              </w:rPr>
              <w:t>第三十三条：“乡级人民政府处理土地权属争议，参照本办法执行。”</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《确定土地所有权和使用权若干规定》</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b w:val="0"/>
                <w:bCs w:val="0"/>
                <w:i w:val="0"/>
                <w:snapToGrid/>
                <w:color w:val="auto"/>
                <w:sz w:val="21"/>
                <w:szCs w:val="21"/>
                <w:shd w:val="clear" w:color="auto" w:fill="FFFFFF"/>
                <w:lang w:eastAsia="zh-CN"/>
              </w:rPr>
            </w:pPr>
            <w:r>
              <w:rPr>
                <w:rFonts w:hint="eastAsia" w:ascii="仿宋_GB2312" w:hAnsi="仿宋_GB2312" w:eastAsia="仿宋_GB2312" w:cs="仿宋_GB2312"/>
              </w:rPr>
              <w:t>第二条 土地所有权和使用权由县级以上人民政府确定，土地管理部门具体承办。土地权属争议，由土地管理部门提出处理意见，报人民政府下达处理决定或报人民政府批准后由土地管理部门下达处理决定。</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154" w:type="dxa"/>
            <w:vMerge w:val="restart"/>
            <w:tcBorders>
              <w:top w:val="single" w:color="auto" w:sz="4" w:space="0"/>
              <w:left w:val="single" w:color="auto" w:sz="4" w:space="0"/>
              <w:bottom w:val="single" w:color="auto" w:sz="4" w:space="0"/>
              <w:right w:val="single" w:color="auto" w:sz="4" w:space="0"/>
            </w:tcBorders>
            <w:vAlign w:val="center"/>
          </w:tcPr>
          <w:p>
            <w:r>
              <w:rPr>
                <w:rFonts w:hint="eastAsia" w:ascii="仿宋_GB2312" w:hAnsi="仿宋_GB2312" w:eastAsia="仿宋_GB2312" w:cs="仿宋_GB2312"/>
                <w:b/>
                <w:bCs/>
              </w:rPr>
              <w:t>2.林木林地权属争议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《中华人民共和国森林法》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w:t>
            </w:r>
            <w:r>
              <w:rPr>
                <w:rFonts w:hint="eastAsia" w:ascii="仿宋_GB2312" w:hAnsi="仿宋_GB2312" w:eastAsia="仿宋_GB2312" w:cs="仿宋_GB2312"/>
                <w:lang w:eastAsia="zh-CN"/>
              </w:rPr>
              <w:t>二</w:t>
            </w:r>
            <w:r>
              <w:rPr>
                <w:rFonts w:hint="eastAsia" w:ascii="仿宋_GB2312" w:hAnsi="仿宋_GB2312" w:eastAsia="仿宋_GB2312" w:cs="仿宋_GB2312"/>
              </w:rPr>
              <w:t>十</w:t>
            </w:r>
            <w:r>
              <w:rPr>
                <w:rFonts w:hint="eastAsia" w:ascii="仿宋_GB2312" w:hAnsi="仿宋_GB2312" w:eastAsia="仿宋_GB2312" w:cs="仿宋_GB2312"/>
                <w:lang w:eastAsia="zh-CN"/>
              </w:rPr>
              <w:t>二</w:t>
            </w:r>
            <w:r>
              <w:rPr>
                <w:rFonts w:hint="eastAsia" w:ascii="仿宋_GB2312" w:hAnsi="仿宋_GB2312" w:eastAsia="仿宋_GB2312" w:cs="仿宋_GB2312"/>
              </w:rPr>
              <w:t>条 单位之间发生的林木、林地所有权和使用权争议，由县级以上人民政府依法处理。个人之间、个人与单位之间发生的林木所有权和林地使用权争议，由当地县级或者乡级人民政府依法处理。当事人对人民政府的处理决定不服的，可以在接到通知之日起一个月内，向人民法院起诉。在林木、林地权属争议解决以前，除因森林防火、林业有害生物防治、国家重大基础设施建设等需要外，当事人任何一方不得砍伐有争议的林木或者改变林地现状。</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区林业和草原局、</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《林木林地权属争议处理办法》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第四条 林权争议由各级人民政府依法作出处理决定。</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林业部、地方各级人民政府林业行政主管部门或者人民政府设立的林权争议处理机构（以下统称林权争议处理机构）按照管理权限分别负责办理林权争议处理的具体工作。</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第十条 处理林权争议时，林木、林地权属凭证记载的四至清楚的，应当以四至为准;四至不清楚的，应当协商解决；经协商不能解决的，由当事人共同的人民政府确定其权属。</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tc>
        <w:tc>
          <w:tcPr>
            <w:tcW w:w="1096" w:type="dxa"/>
            <w:vMerge w:val="continue"/>
            <w:tcBorders>
              <w:top w:val="single" w:color="auto" w:sz="4" w:space="0"/>
              <w:left w:val="single" w:color="auto" w:sz="4" w:space="0"/>
              <w:bottom w:val="single" w:color="auto" w:sz="4" w:space="0"/>
              <w:right w:val="single" w:color="auto" w:sz="4" w:space="0"/>
            </w:tcBorders>
            <w:vAlign w:val="center"/>
          </w:tcPr>
          <w:p/>
        </w:tc>
        <w:tc>
          <w:tcPr>
            <w:tcW w:w="72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宁夏回族自治区林地管理</w:t>
            </w:r>
            <w:r>
              <w:rPr>
                <w:rFonts w:hint="eastAsia" w:ascii="仿宋_GB2312" w:hAnsi="仿宋_GB2312" w:eastAsia="仿宋_GB2312" w:cs="仿宋_GB2312"/>
              </w:rPr>
              <w:t>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第十七条 林地所有权或使用权发生争议，应当按照《森林法》及有关法律、法规、规章的规定处理。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林地权属争议解决之前，任何一方不得砍伐有争议林地上的林木，破坏有争议的林地及其附着物。</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tc>
        <w:tc>
          <w:tcPr>
            <w:tcW w:w="1096" w:type="dxa"/>
            <w:vMerge w:val="continue"/>
            <w:tcBorders>
              <w:top w:val="single" w:color="auto" w:sz="4" w:space="0"/>
              <w:left w:val="single" w:color="auto" w:sz="4" w:space="0"/>
              <w:bottom w:val="single" w:color="auto" w:sz="4" w:space="0"/>
              <w:right w:val="single" w:color="auto" w:sz="4" w:space="0"/>
            </w:tcBorders>
            <w:vAlign w:val="center"/>
          </w:tcPr>
          <w:p/>
        </w:tc>
        <w:tc>
          <w:tcPr>
            <w:tcW w:w="72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15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sz w:val="21"/>
                <w:szCs w:val="21"/>
              </w:rPr>
              <w:t>草原权属争议</w:t>
            </w:r>
            <w:r>
              <w:rPr>
                <w:rFonts w:hint="eastAsia" w:ascii="仿宋_GB2312" w:hAnsi="仿宋_GB2312" w:eastAsia="仿宋_GB2312" w:cs="仿宋_GB2312"/>
                <w:b/>
                <w:bCs/>
                <w:sz w:val="21"/>
                <w:szCs w:val="21"/>
                <w:lang w:eastAsia="zh-CN"/>
              </w:rPr>
              <w:t>裁决</w:t>
            </w:r>
          </w:p>
        </w:tc>
        <w:tc>
          <w:tcPr>
            <w:tcW w:w="1515"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《中华人民共和国草原法》</w:t>
            </w:r>
          </w:p>
        </w:tc>
        <w:tc>
          <w:tcPr>
            <w:tcW w:w="7846" w:type="dxa"/>
            <w:tcBorders>
              <w:top w:val="single" w:color="auto" w:sz="4" w:space="0"/>
              <w:left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第十六条 草原的所有权、使用权的争议，由当事人协商解决；协商不成的，由有关人民政府处理。</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单位之间的争议，由县级以上人民政府处理；个人之间、个人与单位之间的争议，由乡（镇）人民政府或者县级以上人民政府处理。</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当事人对有关人民政府的处理决定不服的，可以依法向人民法院起诉。</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在草原权属争议解决前，任何一方不得改变草原利用现状，不得破坏草原和草原上的设施。</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区林业和草原局、</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721"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1154" w:type="dxa"/>
            <w:vMerge w:val="continue"/>
            <w:tcBorders>
              <w:left w:val="single" w:color="auto" w:sz="4" w:space="0"/>
              <w:right w:val="single" w:color="auto" w:sz="4" w:space="0"/>
            </w:tcBorders>
            <w:vAlign w:val="center"/>
          </w:tcPr>
          <w:p>
            <w:pPr>
              <w:rPr>
                <w:rFonts w:hint="eastAsia" w:ascii="仿宋_GB2312" w:hAnsi="仿宋_GB2312" w:eastAsia="仿宋_GB2312" w:cs="仿宋_GB2312"/>
                <w:b/>
                <w:bCs/>
                <w:sz w:val="24"/>
                <w:szCs w:val="24"/>
              </w:rPr>
            </w:pPr>
          </w:p>
        </w:tc>
        <w:tc>
          <w:tcPr>
            <w:tcW w:w="1515"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宁夏回族自治区草原管理条例</w:t>
            </w:r>
            <w:r>
              <w:rPr>
                <w:rFonts w:hint="eastAsia" w:ascii="仿宋_GB2312" w:hAnsi="仿宋_GB2312" w:eastAsia="仿宋_GB2312" w:cs="仿宋_GB2312"/>
              </w:rPr>
              <w:t>》</w:t>
            </w:r>
          </w:p>
        </w:tc>
        <w:tc>
          <w:tcPr>
            <w:tcW w:w="7846" w:type="dxa"/>
            <w:tcBorders>
              <w:top w:val="single" w:color="auto" w:sz="4" w:space="0"/>
              <w:left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第十三条　草原所有权、使用权发生争议时，由当事人本着互谅互让，有利于生产、生活的原则协商解决；协商不成的，按草原法和下列规定办理；（一）同一地区县与县之间的争议由行署、自治区辖市人民政府处理，县与自治区属全民所有制单位之间的争议由自治区人民政府处理：（二）跨省（区）之间的争议，由自治区畜牧行政主管部门与有关省（区）畜牧行政主管部门协商解决。</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在草原权属争议未解决之前，双方必须撤出有争议的地区，任何一方不得挑起事端，不得破坏草原及建筑、构筑等设施，不得拆除、移动草原上原有的边界标志。争议双方对处理决定不服的，可在收到通知书之日起一个月内向人民法院起诉。逾期不起诉，又不执行处理决定的，作出处理决定的机关可以申请人民法院强制执行。      </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pPr>
              <w:rPr>
                <w:rFonts w:hint="eastAsia" w:ascii="仿宋_GB2312" w:hAnsi="仿宋_GB2312" w:eastAsia="仿宋_GB2312" w:cs="仿宋_GB2312"/>
              </w:rPr>
            </w:pPr>
          </w:p>
        </w:tc>
        <w:tc>
          <w:tcPr>
            <w:tcW w:w="721"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154" w:type="dxa"/>
            <w:vMerge w:val="restart"/>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4.矿区范围争议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《中华人民共和国矿产资源法》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第四十九条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区人民政府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自然资源</w:t>
            </w:r>
            <w:r>
              <w:rPr>
                <w:rFonts w:hint="eastAsia" w:ascii="仿宋_GB2312" w:hAnsi="仿宋_GB2312" w:eastAsia="仿宋_GB2312" w:cs="仿宋_GB2312"/>
                <w:lang w:eastAsia="zh-CN"/>
              </w:rPr>
              <w:t>局</w:t>
            </w:r>
          </w:p>
        </w:tc>
        <w:tc>
          <w:tcPr>
            <w:tcW w:w="721"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《中华人民共和国矿产资源法实施细则》</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第三十六条  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c>
          <w:tcPr>
            <w:tcW w:w="1529" w:type="dxa"/>
            <w:vMerge w:val="continue"/>
            <w:tcBorders>
              <w:left w:val="single" w:color="auto" w:sz="4" w:space="0"/>
              <w:bottom w:val="single" w:color="auto" w:sz="4" w:space="0"/>
              <w:right w:val="single" w:color="auto" w:sz="4" w:space="0"/>
            </w:tcBorders>
            <w:vAlign w:val="center"/>
          </w:tcPr>
          <w:p/>
        </w:tc>
        <w:tc>
          <w:tcPr>
            <w:tcW w:w="1096" w:type="dxa"/>
            <w:vMerge w:val="continue"/>
            <w:tcBorders>
              <w:left w:val="single" w:color="auto" w:sz="4" w:space="0"/>
              <w:bottom w:val="single" w:color="auto" w:sz="4" w:space="0"/>
              <w:right w:val="single" w:color="auto" w:sz="4" w:space="0"/>
            </w:tcBorders>
            <w:vAlign w:val="center"/>
          </w:tcPr>
          <w:p/>
        </w:tc>
        <w:tc>
          <w:tcPr>
            <w:tcW w:w="721"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《矿产资源勘查区块登记管理办法》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rPr>
              <w:t>第九条：禁止任何单位和个人进入他人依法取得探矿权的勘查作业区进行勘查或者采矿活动。探矿权人与采矿权人对勘查作业区范围和矿区范围发生争议的，由当事人协商解决；协商不成的，由发证的登记管理机关中级别高的登记管理机关裁决。</w:t>
            </w:r>
          </w:p>
        </w:tc>
        <w:tc>
          <w:tcPr>
            <w:tcW w:w="1529"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lang w:eastAsia="zh-CN"/>
              </w:rPr>
            </w:pPr>
          </w:p>
        </w:tc>
        <w:tc>
          <w:tcPr>
            <w:tcW w:w="1096"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color w:val="auto"/>
                <w:lang w:eastAsia="zh-CN"/>
              </w:rPr>
            </w:pPr>
          </w:p>
        </w:tc>
        <w:tc>
          <w:tcPr>
            <w:tcW w:w="721" w:type="dxa"/>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154" w:type="dxa"/>
            <w:vMerge w:val="restart"/>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5．水事纠纷争议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《中华人民共和国水法》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区人民政府</w:t>
            </w:r>
          </w:p>
        </w:tc>
        <w:tc>
          <w:tcPr>
            <w:tcW w:w="1096"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color w:val="auto"/>
                <w:lang w:eastAsia="zh-CN"/>
              </w:rPr>
              <w:t>区水务局</w:t>
            </w:r>
          </w:p>
        </w:tc>
        <w:tc>
          <w:tcPr>
            <w:tcW w:w="721"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《中华人民共和国水土保持法》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第四十六条  不同行政区域之间发生水土流失纠纷应当协商解决；协商不成的，由共同的上一级人民政府裁决。</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宁夏回族自治区</w:t>
            </w:r>
            <w:r>
              <w:rPr>
                <w:rFonts w:hint="eastAsia" w:ascii="仿宋_GB2312" w:hAnsi="仿宋_GB2312" w:eastAsia="仿宋_GB2312" w:cs="仿宋_GB2312"/>
              </w:rPr>
              <w:t>《中华人民共和国水法》实施办法</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第三十二条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水事纠纷应当通过协商或者由相应的水行政主管部门调解解决，当事人不愿通过协商、调解解决或者协商、调解不成的，可以请求县级以上人民政府或者其授权的主管部门处理；也可以直接和人民法院起诉。在水事纠纷解决之前，当事人不得单方面改变纠纷发生前水的状况。 </w:t>
            </w:r>
            <w:r>
              <w:rPr>
                <w:rFonts w:hint="eastAsia" w:ascii="仿宋_GB2312" w:hAnsi="仿宋_GB2312" w:eastAsia="仿宋_GB2312" w:cs="仿宋_GB2312"/>
                <w:i w:val="0"/>
                <w:caps w:val="0"/>
                <w:color w:val="auto"/>
                <w:spacing w:val="0"/>
                <w:sz w:val="21"/>
                <w:szCs w:val="21"/>
                <w:shd w:val="clear" w:fill="FFFFFF"/>
              </w:rPr>
              <w:br w:type="textWrapping"/>
            </w:r>
            <w:r>
              <w:rPr>
                <w:rFonts w:hint="eastAsia" w:ascii="仿宋_GB2312" w:hAnsi="仿宋_GB2312" w:eastAsia="仿宋_GB2312" w:cs="仿宋_GB2312"/>
                <w:i w:val="0"/>
                <w:caps w:val="0"/>
                <w:color w:val="auto"/>
                <w:spacing w:val="0"/>
                <w:sz w:val="21"/>
                <w:szCs w:val="21"/>
                <w:shd w:val="clear" w:fill="FFFFFF"/>
              </w:rPr>
              <w:t>　　乡、镇人民政府应当加强用水监督管理，及时调解本乡镇的水事纠纷，配合上级人民政府或者其授权的主管部门处理水事纠纷。 </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《中华人民共和国防汛条例》</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第十九条　地区之间在防汛抗洪方面发生的水事纠纷，由发生纠纷地区共同的上一级人民政府或其授权的主管部门处理。</w:t>
            </w:r>
          </w:p>
          <w:p>
            <w:pPr>
              <w:rPr>
                <w:rFonts w:hint="eastAsia" w:ascii="仿宋_GB2312" w:hAnsi="仿宋_GB2312" w:eastAsia="仿宋_GB2312" w:cs="仿宋_GB2312"/>
              </w:rPr>
            </w:pPr>
            <w:r>
              <w:rPr>
                <w:rFonts w:hint="eastAsia" w:ascii="仿宋_GB2312" w:hAnsi="仿宋_GB2312" w:eastAsia="仿宋_GB2312" w:cs="仿宋_GB2312"/>
              </w:rPr>
              <w:t>　　前款所指人民政府或者部门在处理防汛抗洪方面的水事纠纷时，有权采取临时紧急处置措施，有关当事各方必须服从并贯彻执行。</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《中华人民共和国抗旱条例》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第五十一条  因抗旱发生的水事纠纷，依照《中华人民共和国水法》的有关规定处理。</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154" w:type="dxa"/>
            <w:vMerge w:val="restart"/>
            <w:tcBorders>
              <w:left w:val="single" w:color="auto" w:sz="4" w:space="0"/>
              <w:right w:val="single" w:color="auto" w:sz="4" w:space="0"/>
            </w:tcBorders>
            <w:vAlign w:val="center"/>
          </w:tcPr>
          <w:p>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对审计机关作出的有关财政收支的审计决定裁决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《中华人民共和国审计法》</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第四十八条 被审计单位对审计机关作出的有关财务收支的审计决定不服的，可以依法申请行政复议或者提起行政诉讼。</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被审计单位对审计机关作出的有关财政收支的审计决定不服的，可以提请审计机关的本级人民政府裁决，本级人民政府的裁决为最终决定</w:t>
            </w:r>
          </w:p>
        </w:tc>
        <w:tc>
          <w:tcPr>
            <w:tcW w:w="1529" w:type="dxa"/>
            <w:vMerge w:val="restart"/>
            <w:tcBorders>
              <w:left w:val="single" w:color="auto" w:sz="4" w:space="0"/>
              <w:right w:val="single" w:color="auto" w:sz="4" w:space="0"/>
            </w:tcBorders>
            <w:vAlign w:val="center"/>
          </w:tcPr>
          <w:p>
            <w:pPr>
              <w:jc w:val="center"/>
            </w:pPr>
            <w:r>
              <w:rPr>
                <w:rFonts w:hint="eastAsia" w:ascii="仿宋_GB2312" w:hAnsi="仿宋_GB2312" w:eastAsia="仿宋_GB2312" w:cs="仿宋_GB2312"/>
                <w:lang w:eastAsia="zh-CN"/>
              </w:rPr>
              <w:t>区人民政府</w:t>
            </w:r>
          </w:p>
        </w:tc>
        <w:tc>
          <w:tcPr>
            <w:tcW w:w="1096" w:type="dxa"/>
            <w:vMerge w:val="restart"/>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区司法局</w:t>
            </w:r>
          </w:p>
        </w:tc>
        <w:tc>
          <w:tcPr>
            <w:tcW w:w="721" w:type="dxa"/>
            <w:vMerge w:val="restart"/>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《中华人民共和国审计法实施条例》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第五十二条 被审计单位对审计机关依照审计法第十六条、第十七条和本条例第十五条规定进行审计监督作出的审计决定不服的，可以自审计决定送达之日起60日内，提请审计机关的本级人民政府裁决，本级人民政府的裁决为最终决定。</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审计机关应当在审计决定中告知被审计单位提请裁决的途径和期限。</w:t>
            </w:r>
          </w:p>
          <w:p>
            <w:pPr>
              <w:rPr>
                <w:rFonts w:hint="eastAsia" w:ascii="仿宋_GB2312" w:hAnsi="仿宋_GB2312" w:eastAsia="仿宋_GB2312" w:cs="仿宋_GB2312"/>
              </w:rPr>
            </w:pPr>
            <w:r>
              <w:rPr>
                <w:rFonts w:hint="eastAsia" w:ascii="仿宋_GB2312" w:hAnsi="仿宋_GB2312" w:eastAsia="仿宋_GB2312" w:cs="仿宋_GB2312"/>
              </w:rPr>
              <w:t>裁决期间，审计决定不停止执行。但是，有下列情形之一的，可以停止执行:</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（一）审计机关认为需要停止执行的;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（二）受理裁决的人民政府认为需要停止执行的;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（三）被审计单位申请停止执行，受理裁决的人民政府认为其要求合理，决定停止执行的。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裁决由本级人民政府法制机构办理。裁决决定应当自接到提请之日起60日内作出;有特殊情况需要延长的，经法制机构负责人批准，可以适当延长，并告知审计机关和提请裁决的被审计单位，但延长的期限不得超过30日。</w:t>
            </w:r>
          </w:p>
        </w:tc>
        <w:tc>
          <w:tcPr>
            <w:tcW w:w="1529" w:type="dxa"/>
            <w:vMerge w:val="continue"/>
            <w:tcBorders>
              <w:left w:val="single" w:color="auto" w:sz="4" w:space="0"/>
              <w:right w:val="single" w:color="auto" w:sz="4" w:space="0"/>
            </w:tcBorders>
            <w:vAlign w:val="center"/>
          </w:tcPr>
          <w:p>
            <w:pPr>
              <w:jc w:val="center"/>
            </w:pPr>
          </w:p>
        </w:tc>
        <w:tc>
          <w:tcPr>
            <w:tcW w:w="1096"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7.征地补偿标准争议裁决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rPr>
              <w:t>《中华人民共和国土地管理法</w:t>
            </w:r>
            <w:r>
              <w:rPr>
                <w:rFonts w:hint="eastAsia" w:ascii="仿宋_GB2312" w:hAnsi="仿宋_GB2312" w:eastAsia="仿宋_GB2312" w:cs="仿宋_GB2312"/>
                <w:color w:val="auto"/>
                <w:lang w:eastAsia="zh-CN"/>
              </w:rPr>
              <w:t>实施条例</w:t>
            </w:r>
            <w:r>
              <w:rPr>
                <w:rFonts w:hint="eastAsia" w:ascii="仿宋_GB2312" w:hAnsi="仿宋_GB2312" w:eastAsia="仿宋_GB2312" w:cs="仿宋_GB2312"/>
                <w:color w:val="auto"/>
              </w:rPr>
              <w:t>》</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ind w:firstLine="42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第六十二条　违反土地管理法律、法规规定，阻挠国家建设征收土地的，由县级以上地方人民政府责令交出土地；拒不交出土地的，依法申请人民法院强制执行。</w:t>
            </w:r>
          </w:p>
        </w:tc>
        <w:tc>
          <w:tcPr>
            <w:tcW w:w="1529"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区司法局、土地房屋征收办公室</w:t>
            </w:r>
          </w:p>
        </w:tc>
        <w:tc>
          <w:tcPr>
            <w:tcW w:w="721" w:type="dxa"/>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8.国有土地上房屋征收补偿安置争议裁决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rPr>
              <w:t>《国有土地上房屋征收与补偿条例》</w:t>
            </w:r>
            <w:r>
              <w:rPr>
                <w:rFonts w:hint="eastAsia" w:ascii="仿宋_GB2312" w:hAnsi="仿宋_GB2312" w:eastAsia="仿宋_GB2312" w:cs="仿宋_GB2312"/>
                <w:color w:val="auto"/>
                <w:lang w:eastAsia="zh-CN"/>
              </w:rPr>
              <w:t>（国务院</w:t>
            </w:r>
            <w:r>
              <w:rPr>
                <w:rFonts w:hint="eastAsia" w:ascii="仿宋_GB2312" w:hAnsi="仿宋_GB2312" w:eastAsia="仿宋_GB2312" w:cs="仿宋_GB2312"/>
                <w:color w:val="auto"/>
                <w:lang w:val="en-US" w:eastAsia="zh-CN"/>
              </w:rPr>
              <w:t>590号令）</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xml:space="preserve">    第二十六条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补偿决定应当公平，包括本条例第二十五条第一款规定的有关补偿协议的事项。</w:t>
            </w:r>
          </w:p>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被征收人对补偿决定不服的，可以依法申请行政复议，也可以依法提起行政诉讼。</w:t>
            </w:r>
          </w:p>
        </w:tc>
        <w:tc>
          <w:tcPr>
            <w:tcW w:w="1529"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区司法局、土地房屋征收办公室</w:t>
            </w:r>
          </w:p>
        </w:tc>
        <w:tc>
          <w:tcPr>
            <w:tcW w:w="721" w:type="dxa"/>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9.</w:t>
            </w:r>
            <w:r>
              <w:rPr>
                <w:rFonts w:hint="eastAsia" w:ascii="仿宋_GB2312" w:hAnsi="仿宋_GB2312" w:eastAsia="仿宋_GB2312" w:cs="仿宋_GB2312"/>
                <w:b/>
                <w:bCs/>
                <w:color w:val="auto"/>
                <w:kern w:val="0"/>
                <w:sz w:val="21"/>
                <w:szCs w:val="21"/>
              </w:rPr>
              <w:t>移民安置纠纷调处</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1"/>
                <w:szCs w:val="21"/>
              </w:rPr>
              <w:t>《大中型水利水电工程建设征地补偿和移民安置条例》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第五十五条：国家切实维护移民的合法权益。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移民安置后，移民与移民安置区当地居民享有同等的权利，承担同等的义务。</w:t>
            </w:r>
          </w:p>
        </w:tc>
        <w:tc>
          <w:tcPr>
            <w:tcW w:w="1529"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农业农村局（乡村振兴局）</w:t>
            </w:r>
          </w:p>
        </w:tc>
        <w:tc>
          <w:tcPr>
            <w:tcW w:w="721" w:type="dxa"/>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bookmarkEnd w:id="0"/>
    </w:tbl>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en-US" w:eastAsia="zh-CN"/>
        </w:rPr>
        <w:t xml:space="preserve">                              二</w:t>
      </w:r>
      <w:r>
        <w:rPr>
          <w:rFonts w:hint="eastAsia" w:ascii="黑体" w:hAnsi="黑体" w:eastAsia="黑体" w:cs="黑体"/>
          <w:b/>
          <w:bCs/>
          <w:sz w:val="28"/>
          <w:szCs w:val="28"/>
        </w:rPr>
        <w:t>、</w:t>
      </w:r>
      <w:r>
        <w:rPr>
          <w:rFonts w:hint="eastAsia" w:ascii="黑体" w:hAnsi="黑体" w:eastAsia="黑体" w:cs="黑体"/>
          <w:b/>
          <w:bCs/>
          <w:sz w:val="28"/>
          <w:szCs w:val="28"/>
          <w:lang w:eastAsia="zh-CN"/>
        </w:rPr>
        <w:t>区</w:t>
      </w:r>
      <w:r>
        <w:rPr>
          <w:rFonts w:hint="eastAsia" w:ascii="黑体" w:hAnsi="黑体" w:eastAsia="黑体" w:cs="黑体"/>
          <w:b/>
          <w:bCs/>
          <w:sz w:val="28"/>
          <w:szCs w:val="28"/>
        </w:rPr>
        <w:t>人民政府部门</w:t>
      </w:r>
      <w:r>
        <w:rPr>
          <w:rFonts w:hint="eastAsia" w:ascii="黑体" w:hAnsi="黑体" w:eastAsia="黑体" w:cs="黑体"/>
          <w:b/>
          <w:bCs/>
          <w:sz w:val="28"/>
          <w:szCs w:val="28"/>
          <w:lang w:eastAsia="zh-CN"/>
        </w:rPr>
        <w:t>（单位）</w:t>
      </w:r>
      <w:r>
        <w:rPr>
          <w:rFonts w:hint="eastAsia" w:ascii="黑体" w:hAnsi="黑体" w:eastAsia="黑体" w:cs="黑体"/>
          <w:b/>
          <w:bCs/>
          <w:sz w:val="28"/>
          <w:szCs w:val="28"/>
        </w:rPr>
        <w:t>行政裁决事项</w:t>
      </w:r>
      <w:r>
        <w:rPr>
          <w:rFonts w:hint="eastAsia" w:ascii="黑体" w:hAnsi="黑体" w:eastAsia="黑体" w:cs="黑体"/>
          <w:b/>
          <w:bCs/>
          <w:sz w:val="28"/>
          <w:szCs w:val="28"/>
          <w:lang w:eastAsia="zh-CN"/>
        </w:rPr>
        <w:t>清单</w:t>
      </w:r>
    </w:p>
    <w:tbl>
      <w:tblPr>
        <w:tblStyle w:val="6"/>
        <w:tblW w:w="1390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565"/>
        <w:gridCol w:w="7435"/>
        <w:gridCol w:w="1558"/>
        <w:gridCol w:w="112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rPr>
              <w:t xml:space="preserve">   </w:t>
            </w:r>
            <w:r>
              <w:t xml:space="preserve">    </w:t>
            </w:r>
          </w:p>
          <w:p>
            <w:pPr>
              <w:rPr>
                <w:b/>
                <w:bCs/>
              </w:rPr>
            </w:pPr>
          </w:p>
        </w:tc>
        <w:tc>
          <w:tcPr>
            <w:tcW w:w="9000" w:type="dxa"/>
            <w:gridSpan w:val="2"/>
            <w:tcBorders>
              <w:top w:val="single" w:color="auto" w:sz="4" w:space="0"/>
              <w:left w:val="single" w:color="auto" w:sz="4" w:space="0"/>
              <w:bottom w:val="single" w:color="auto" w:sz="4" w:space="0"/>
              <w:right w:val="single" w:color="auto" w:sz="4" w:space="0"/>
            </w:tcBorders>
            <w:vAlign w:val="center"/>
          </w:tcPr>
          <w:p>
            <w:pPr>
              <w:ind w:firstLine="2951" w:firstLineChars="1400"/>
              <w:jc w:val="both"/>
              <w:rPr>
                <w:b/>
                <w:bCs/>
              </w:rPr>
            </w:pPr>
            <w:r>
              <w:rPr>
                <w:rFonts w:hint="eastAsia" w:eastAsia="宋体"/>
                <w:b/>
                <w:bCs/>
                <w:lang w:val="en-US" w:eastAsia="zh-CN"/>
              </w:rPr>
              <w:t xml:space="preserve">           </w:t>
            </w:r>
            <w:r>
              <w:rPr>
                <w:rFonts w:hint="eastAsia"/>
                <w:b/>
                <w:bCs/>
              </w:rPr>
              <w:t>设立依据</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行政裁决机关</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承办机关</w:t>
            </w:r>
          </w:p>
        </w:tc>
        <w:tc>
          <w:tcPr>
            <w:tcW w:w="894"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565" w:type="dxa"/>
            <w:tcBorders>
              <w:top w:val="single" w:color="auto" w:sz="4" w:space="0"/>
              <w:left w:val="single" w:color="auto" w:sz="4" w:space="0"/>
              <w:right w:val="single" w:color="auto" w:sz="4" w:space="0"/>
            </w:tcBorders>
            <w:vAlign w:val="center"/>
          </w:tcPr>
          <w:p>
            <w:pPr>
              <w:jc w:val="center"/>
              <w:rPr>
                <w:b/>
                <w:bCs/>
              </w:rPr>
            </w:pPr>
            <w:r>
              <w:rPr>
                <w:rFonts w:hint="eastAsia" w:eastAsia="宋体"/>
                <w:b/>
                <w:bCs/>
                <w:lang w:eastAsia="zh-CN"/>
              </w:rPr>
              <w:t>实施</w:t>
            </w:r>
            <w:r>
              <w:rPr>
                <w:rFonts w:hint="eastAsia"/>
                <w:b/>
                <w:bCs/>
              </w:rPr>
              <w:t>依据</w:t>
            </w:r>
          </w:p>
        </w:tc>
        <w:tc>
          <w:tcPr>
            <w:tcW w:w="7435" w:type="dxa"/>
            <w:tcBorders>
              <w:top w:val="single" w:color="auto" w:sz="4" w:space="0"/>
              <w:left w:val="single" w:color="auto" w:sz="4" w:space="0"/>
              <w:right w:val="single" w:color="auto" w:sz="4" w:space="0"/>
            </w:tcBorders>
            <w:vAlign w:val="center"/>
          </w:tcPr>
          <w:p>
            <w:pPr>
              <w:ind w:firstLine="1686" w:firstLineChars="800"/>
              <w:jc w:val="both"/>
              <w:rPr>
                <w:b/>
                <w:bCs/>
              </w:rPr>
            </w:pPr>
            <w:r>
              <w:rPr>
                <w:rFonts w:hint="eastAsia" w:eastAsia="宋体"/>
                <w:b/>
                <w:bCs/>
                <w:lang w:val="en-US" w:eastAsia="zh-CN"/>
              </w:rPr>
              <w:t xml:space="preserve">          </w:t>
            </w:r>
            <w:r>
              <w:rPr>
                <w:rFonts w:hint="eastAsia"/>
                <w:b/>
                <w:bCs/>
              </w:rPr>
              <w:t>具体条款及内容</w:t>
            </w: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1327"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.政府采购投诉处理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《中华人民共和国政府采购法》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第五十五条 质疑供应商对采购人、采购代理机构的答复不满意或者采购人、采购代理机构未在规定的时间内作出答复的，可以在答复期满后十五个工作日内向同级政府采购监督管理部门投诉。</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 政府采购监督管理部门应当在收到投诉后三十个工作日内，对投诉事项作出处理决定，并以书面形式通知投诉人和与投诉事项有关的当事人。</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第五十七条　政府采购监督管理部门在处理投诉事项期间，可以视具体情况书面通知采购人暂停采购活动，但暂停时间最长不得超过三十日。</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第五十八条 财政部门处理投诉事项，需要检验、检测、鉴定、专家评审以及需要投诉人补正材料的，所需时间不计算在投诉处理期限内。财政部门对投诉事项作出的处理决定，应当在省级以上人民政府财政部门指定的媒体上公告。</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财政</w:t>
            </w:r>
            <w:r>
              <w:rPr>
                <w:rFonts w:hint="eastAsia" w:ascii="仿宋_GB2312" w:hAnsi="仿宋_GB2312" w:eastAsia="仿宋_GB2312" w:cs="仿宋_GB2312"/>
                <w:lang w:eastAsia="zh-CN"/>
              </w:rPr>
              <w:t>局</w:t>
            </w:r>
          </w:p>
        </w:tc>
        <w:tc>
          <w:tcPr>
            <w:tcW w:w="112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财政</w:t>
            </w:r>
            <w:r>
              <w:rPr>
                <w:rFonts w:hint="eastAsia" w:ascii="仿宋_GB2312" w:hAnsi="仿宋_GB2312" w:eastAsia="仿宋_GB2312" w:cs="仿宋_GB2312"/>
                <w:lang w:eastAsia="zh-CN"/>
              </w:rPr>
              <w:t>局</w:t>
            </w:r>
          </w:p>
        </w:tc>
        <w:tc>
          <w:tcPr>
            <w:tcW w:w="894"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1327" w:type="dxa"/>
            <w:vMerge w:val="continue"/>
            <w:tcBorders>
              <w:left w:val="single" w:color="auto" w:sz="4" w:space="0"/>
              <w:right w:val="single" w:color="auto" w:sz="4" w:space="0"/>
            </w:tcBorders>
            <w:vAlign w:val="center"/>
          </w:tc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《中华人民共和国政府采购法</w:t>
            </w:r>
            <w:r>
              <w:rPr>
                <w:rFonts w:hint="eastAsia" w:ascii="仿宋_GB2312" w:hAnsi="仿宋_GB2312" w:eastAsia="仿宋_GB2312" w:cs="仿宋_GB2312"/>
                <w:lang w:eastAsia="zh-CN"/>
              </w:rPr>
              <w:t>实施条例</w:t>
            </w:r>
            <w:r>
              <w:rPr>
                <w:rFonts w:hint="eastAsia" w:ascii="仿宋_GB2312" w:hAnsi="仿宋_GB2312" w:eastAsia="仿宋_GB2312" w:cs="仿宋_GB2312"/>
              </w:rPr>
              <w:t>》</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第五十六条第一款 财政部门处理投诉事项采用书面审查的方式，必要时可以进行调查取证或者组织质证。</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第五十七条 投诉人捏造事实、提供虚假材料或者以非法手段取得证明材料进行投诉的，财政部门应当予以驳回。财政部门受理投诉后，投诉人书面申请撤回投诉的，财政部门应当终止投诉处理程序。</w:t>
            </w:r>
          </w:p>
          <w:p>
            <w:pPr>
              <w:ind w:firstLine="420" w:firstLineChars="200"/>
            </w:pPr>
            <w:r>
              <w:rPr>
                <w:rFonts w:hint="eastAsia" w:ascii="仿宋_GB2312" w:hAnsi="仿宋_GB2312" w:eastAsia="仿宋_GB2312" w:cs="仿宋_GB2312"/>
              </w:rPr>
              <w:t>第五十八条 财政部门处理投诉事项，需要检验、检测、鉴定、专家评审以及需要投诉人补正材料的，所需时间不计算在投诉处理期限内。财政部门对投诉事项作出的处理决定，应当在省级以上人民政府财政部门指定的媒体上公告。</w:t>
            </w:r>
          </w:p>
        </w:tc>
        <w:tc>
          <w:tcPr>
            <w:tcW w:w="1558" w:type="dxa"/>
            <w:vMerge w:val="continue"/>
            <w:tcBorders>
              <w:left w:val="single" w:color="auto" w:sz="4" w:space="0"/>
              <w:right w:val="single" w:color="auto" w:sz="4" w:space="0"/>
            </w:tcBorders>
            <w:vAlign w:val="center"/>
          </w:tcPr>
          <w:p/>
        </w:tc>
        <w:tc>
          <w:tcPr>
            <w:tcW w:w="1125" w:type="dxa"/>
            <w:vMerge w:val="continue"/>
            <w:tcBorders>
              <w:left w:val="single" w:color="auto" w:sz="4" w:space="0"/>
              <w:bottom w:val="single" w:color="auto" w:sz="4" w:space="0"/>
              <w:right w:val="single" w:color="auto" w:sz="4" w:space="0"/>
            </w:tcBorders>
            <w:vAlign w:val="center"/>
          </w:tcPr>
          <w:p/>
        </w:tc>
        <w:tc>
          <w:tcPr>
            <w:tcW w:w="894"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1327" w:type="dxa"/>
            <w:tcBorders>
              <w:left w:val="single" w:color="auto" w:sz="4" w:space="0"/>
              <w:right w:val="single" w:color="auto" w:sz="4" w:space="0"/>
            </w:tcBorders>
            <w:vAlign w:val="center"/>
          </w:tcPr>
          <w:p>
            <w:pPr>
              <w:rPr>
                <w:rFonts w:hint="eastAsia"/>
              </w:rPr>
            </w:p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ascii="仿宋_GB2312" w:hAnsi="仿宋_GB2312" w:eastAsia="仿宋_GB2312" w:cs="仿宋_GB2312"/>
              </w:rPr>
              <w:t>《政府采购质疑和投诉办法》（中华人民共和国财政部令第94号）</w:t>
            </w:r>
          </w:p>
        </w:tc>
        <w:tc>
          <w:tcPr>
            <w:tcW w:w="743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第五条 采购人负责供应商质疑答复。采购人委托采购代理机构采购的，采购代理机构在委托授权范围内作出答复。</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第六条 供应商投诉按照采购人所属预算级次，由本级财政部门处理。</w:t>
            </w:r>
          </w:p>
          <w:p>
            <w:pPr>
              <w:rPr>
                <w:rFonts w:hint="eastAsia" w:ascii="仿宋_GB2312" w:hAnsi="仿宋_GB2312" w:eastAsia="仿宋_GB2312" w:cs="仿宋_GB2312"/>
              </w:rPr>
            </w:pPr>
            <w:r>
              <w:rPr>
                <w:rFonts w:hint="eastAsia" w:ascii="仿宋_GB2312" w:hAnsi="仿宋_GB2312" w:eastAsia="仿宋_GB2312" w:cs="仿宋_GB2312"/>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ind w:firstLine="420" w:firstLineChars="200"/>
            </w:pPr>
            <w:r>
              <w:rPr>
                <w:rFonts w:hint="eastAsia" w:ascii="仿宋_GB2312" w:hAnsi="仿宋_GB2312" w:eastAsia="仿宋_GB2312" w:cs="仿宋_GB2312"/>
              </w:rPr>
              <w:t>第十七条 质疑供应商对采购人、采购代理机构的答复不满意，或者采购人、采购代理机构未在规定时间内作出答复的，可以在答复期满后15个工作日内向本办法第六条规定的财政部门提起投诉。</w:t>
            </w:r>
          </w:p>
        </w:tc>
        <w:tc>
          <w:tcPr>
            <w:tcW w:w="1558" w:type="dxa"/>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25" w:type="dxa"/>
            <w:tcBorders>
              <w:top w:val="single" w:color="auto" w:sz="4" w:space="0"/>
              <w:left w:val="single" w:color="auto" w:sz="4" w:space="0"/>
              <w:bottom w:val="single" w:color="auto" w:sz="4" w:space="0"/>
              <w:right w:val="single" w:color="auto" w:sz="4" w:space="0"/>
            </w:tcBorders>
            <w:vAlign w:val="center"/>
          </w:tcPr>
          <w:p/>
        </w:tc>
        <w:tc>
          <w:tcPr>
            <w:tcW w:w="89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327" w:type="dxa"/>
            <w:tcBorders>
              <w:left w:val="single" w:color="auto" w:sz="4" w:space="0"/>
              <w:right w:val="single" w:color="auto" w:sz="4" w:space="0"/>
            </w:tcBorders>
            <w:vAlign w:val="center"/>
          </w:tcPr>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医疗机构      名称裁决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《医疗机构管理条例实施细则》</w:t>
            </w:r>
          </w:p>
          <w:p>
            <w:pPr>
              <w:rPr>
                <w:rFonts w:hint="eastAsia"/>
              </w:rPr>
            </w:pP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第四十九条  两个以上申请人向同一核准机关申请相同的医疗机构名称,核准机关依照申请在先原则核定。属于同一天申请的,应当由申请人双方协商解决:协商不成的,由核准机关作出裁决。</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两个以上医疗机构因已经核准登记的医疗机构名称相同发生争议时,核准机关依照登记在先原则处理。属于同一天登记的,应当由双方协商解决:协商不成的,由核准机关报上一级卫生计生行政部门作出裁决。</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区卫健局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区卫健局</w:t>
            </w:r>
          </w:p>
        </w:tc>
        <w:tc>
          <w:tcPr>
            <w:tcW w:w="89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327" w:type="dxa"/>
            <w:vMerge w:val="restart"/>
            <w:tcBorders>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b/>
                <w:bCs/>
                <w:lang w:val="en-US" w:eastAsia="zh-CN"/>
              </w:rPr>
              <w:t>3.行政区域界线位置认定不一致争议引发的裁决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1"/>
                <w:szCs w:val="21"/>
              </w:rPr>
            </w:pPr>
            <w:r>
              <w:rPr>
                <w:rStyle w:val="11"/>
                <w:rFonts w:hint="eastAsia" w:ascii="仿宋_GB2312" w:hAnsi="仿宋_GB2312" w:eastAsia="仿宋_GB2312" w:cs="仿宋_GB2312"/>
                <w:b w:val="0"/>
                <w:bCs/>
                <w:sz w:val="21"/>
                <w:szCs w:val="21"/>
                <w:lang w:val="en-US" w:eastAsia="zh-CN" w:bidi="ar"/>
              </w:rPr>
              <w:t>《行政区域界线管理条例》</w:t>
            </w:r>
          </w:p>
        </w:tc>
        <w:tc>
          <w:tcPr>
            <w:tcW w:w="7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Style w:val="11"/>
                <w:rFonts w:hint="eastAsia"/>
                <w:b/>
                <w:lang w:val="en-US" w:eastAsia="zh-CN" w:bidi="ar"/>
              </w:rPr>
              <w:t xml:space="preserve">   </w:t>
            </w:r>
            <w:r>
              <w:rPr>
                <w:rStyle w:val="11"/>
                <w:rFonts w:hint="eastAsia" w:ascii="仿宋_GB2312" w:hAnsi="仿宋_GB2312" w:eastAsia="仿宋_GB2312" w:cs="仿宋_GB2312"/>
                <w:b w:val="0"/>
                <w:bCs/>
                <w:sz w:val="21"/>
                <w:szCs w:val="21"/>
                <w:lang w:val="en-US" w:eastAsia="zh-CN" w:bidi="ar"/>
              </w:rPr>
              <w:t xml:space="preserve"> 第十五条 因对行政区域界线实地位置认定不一致引发的争议，由该行政区域界线的批准机关依照该行政区域界线协议书的有关规定处理。</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区民政局</w:t>
            </w:r>
          </w:p>
        </w:tc>
        <w:tc>
          <w:tcPr>
            <w:tcW w:w="112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区民政局</w:t>
            </w:r>
          </w:p>
        </w:tc>
        <w:tc>
          <w:tcPr>
            <w:tcW w:w="894"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27" w:type="dxa"/>
            <w:vMerge w:val="continue"/>
            <w:tcBorders>
              <w:left w:val="single" w:color="auto" w:sz="4" w:space="0"/>
              <w:right w:val="single" w:color="auto" w:sz="4" w:space="0"/>
            </w:tcBorders>
            <w:vAlign w:val="center"/>
          </w:tcPr>
          <w:p>
            <w:pPr>
              <w:rPr>
                <w:rFonts w:hint="eastAsia"/>
              </w:rPr>
            </w:p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rPr>
            </w:pPr>
            <w:r>
              <w:rPr>
                <w:rStyle w:val="11"/>
                <w:rFonts w:hint="eastAsia" w:ascii="仿宋_GB2312" w:hAnsi="仿宋_GB2312" w:eastAsia="仿宋_GB2312" w:cs="仿宋_GB2312"/>
                <w:b w:val="0"/>
                <w:bCs/>
                <w:sz w:val="21"/>
                <w:szCs w:val="21"/>
                <w:lang w:val="en-US" w:eastAsia="zh-CN" w:bidi="ar"/>
              </w:rPr>
              <w:t>《行政区域边界争议处理条例》</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Style w:val="11"/>
                <w:rFonts w:hint="eastAsia" w:ascii="仿宋_GB2312" w:hAnsi="仿宋_GB2312" w:eastAsia="仿宋_GB2312" w:cs="仿宋_GB2312"/>
                <w:b w:val="0"/>
                <w:bCs/>
                <w:sz w:val="21"/>
                <w:szCs w:val="21"/>
                <w:lang w:val="en-US" w:eastAsia="zh-CN" w:bidi="ar"/>
              </w:rPr>
              <w:t>第六条 民政部是国务院处理边界争议的主管部门。县级以上的地方各级人民政府的民政部门是本级人民政府处理边界争议的主管部门。</w:t>
            </w:r>
          </w:p>
        </w:tc>
        <w:tc>
          <w:tcPr>
            <w:tcW w:w="1558" w:type="dxa"/>
            <w:vMerge w:val="continue"/>
            <w:tcBorders>
              <w:left w:val="single" w:color="auto" w:sz="4" w:space="0"/>
              <w:bottom w:val="single" w:color="auto" w:sz="4" w:space="0"/>
              <w:right w:val="single" w:color="auto" w:sz="4" w:space="0"/>
            </w:tcBorders>
            <w:vAlign w:val="center"/>
          </w:tcPr>
          <w:p>
            <w:pPr>
              <w:rPr>
                <w:rFonts w:hint="eastAsia"/>
              </w:rPr>
            </w:pPr>
          </w:p>
        </w:tc>
        <w:tc>
          <w:tcPr>
            <w:tcW w:w="1125" w:type="dxa"/>
            <w:vMerge w:val="continue"/>
            <w:tcBorders>
              <w:left w:val="single" w:color="auto" w:sz="4" w:space="0"/>
              <w:bottom w:val="single" w:color="auto" w:sz="4" w:space="0"/>
              <w:right w:val="single" w:color="auto" w:sz="4" w:space="0"/>
            </w:tcBorders>
            <w:vAlign w:val="center"/>
          </w:tcPr>
          <w:p/>
        </w:tc>
        <w:tc>
          <w:tcPr>
            <w:tcW w:w="894"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1327" w:type="dxa"/>
            <w:tcBorders>
              <w:left w:val="single" w:color="auto" w:sz="4" w:space="0"/>
              <w:right w:val="single" w:color="auto" w:sz="4" w:space="0"/>
            </w:tcBorders>
            <w:vAlign w:val="center"/>
          </w:tcPr>
          <w:p>
            <w:r>
              <w:rPr>
                <w:rFonts w:hint="eastAsia" w:ascii="仿宋_GB2312" w:hAnsi="仿宋_GB2312" w:eastAsia="仿宋_GB2312" w:cs="仿宋_GB2312"/>
                <w:b/>
                <w:bCs/>
                <w:color w:val="000000"/>
                <w:kern w:val="0"/>
                <w:sz w:val="21"/>
                <w:szCs w:val="21"/>
                <w:lang w:val="en-US" w:eastAsia="zh-CN"/>
              </w:rPr>
              <w:t>4.</w:t>
            </w:r>
            <w:r>
              <w:rPr>
                <w:rFonts w:hint="eastAsia" w:ascii="仿宋_GB2312" w:hAnsi="仿宋_GB2312" w:eastAsia="仿宋_GB2312" w:cs="仿宋_GB2312"/>
                <w:b/>
                <w:bCs/>
                <w:color w:val="000000"/>
                <w:kern w:val="0"/>
                <w:sz w:val="21"/>
                <w:szCs w:val="21"/>
              </w:rPr>
              <w:t>侵犯植物新品种权处理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《中华人民共和国种子法》</w:t>
            </w:r>
          </w:p>
        </w:tc>
        <w:tc>
          <w:tcPr>
            <w:tcW w:w="74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第二十八条：完成育种的单位或者个人对其授权品种，享有排他的独占权。任何单位或者个人未经植物新品种 权所有人许可，不得生产、繁殖或者销售该授权品种的繁殖材料，不得为商业目的将该授权品种的繁殖材料重复使用于生产另一品种的繁殖材料；但是本法、有关法律、行政法规另有规定的除外。</w:t>
            </w:r>
          </w:p>
          <w:p>
            <w:pPr>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第七十三条：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w:t>
            </w:r>
          </w:p>
        </w:tc>
        <w:tc>
          <w:tcPr>
            <w:tcW w:w="155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农业农村局</w:t>
            </w:r>
          </w:p>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林业和草原局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农业农村局、林业和草原局</w:t>
            </w:r>
          </w:p>
        </w:tc>
        <w:tc>
          <w:tcPr>
            <w:tcW w:w="8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1327" w:type="dxa"/>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.对影响石油天然气管道施工作业的裁决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auto"/>
              </w:rPr>
              <w:t>《中华人民共和国石油天然气管道保护法》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 </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发改</w:t>
            </w:r>
            <w:r>
              <w:rPr>
                <w:rFonts w:hint="eastAsia" w:ascii="仿宋_GB2312" w:hAnsi="仿宋_GB2312" w:eastAsia="仿宋_GB2312" w:cs="仿宋_GB2312"/>
                <w:lang w:eastAsia="zh-CN"/>
              </w:rPr>
              <w:t>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发改</w:t>
            </w:r>
            <w:r>
              <w:rPr>
                <w:rFonts w:hint="eastAsia" w:ascii="仿宋_GB2312" w:hAnsi="仿宋_GB2312" w:eastAsia="仿宋_GB2312" w:cs="仿宋_GB2312"/>
                <w:lang w:eastAsia="zh-CN"/>
              </w:rPr>
              <w:t>局</w:t>
            </w:r>
          </w:p>
        </w:tc>
        <w:tc>
          <w:tcPr>
            <w:tcW w:w="8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27" w:type="dxa"/>
            <w:vMerge w:val="restart"/>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i w:val="0"/>
                <w:color w:val="000000"/>
                <w:kern w:val="0"/>
                <w:sz w:val="21"/>
                <w:szCs w:val="21"/>
                <w:u w:val="none"/>
                <w:lang w:val="en-US" w:eastAsia="zh-CN" w:bidi="ar"/>
              </w:rPr>
              <w:t>6.对教师申诉的处理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《中华人民共和国教师法》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第三十九条 教师对学校或者其他教育机构侵犯其合法权益的，或者对学校或者其他教育机构作出的处理不服的，可以向教育行政部门提出申诉，教育行政部门应当在接到申诉的三十日内，作出处理。</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112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89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2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宁夏回族自治区实施《中华人民共和国教师法》办法</w:t>
            </w:r>
          </w:p>
        </w:tc>
        <w:tc>
          <w:tcPr>
            <w:tcW w:w="7435" w:type="dxa"/>
          </w:tcPr>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第二十五条 教师对学校或者其他教育机构侵犯其合法权益的行为，可以向教育行政部门提出申诉。</w:t>
            </w:r>
          </w:p>
        </w:tc>
        <w:tc>
          <w:tcPr>
            <w:tcW w:w="1558" w:type="dxa"/>
            <w:vMerge w:val="continue"/>
            <w:tcBorders>
              <w:left w:val="single" w:color="auto" w:sz="4" w:space="0"/>
              <w:right w:val="single" w:color="auto" w:sz="4" w:space="0"/>
            </w:tcBorders>
          </w:tcPr>
          <w:p>
            <w:pPr>
              <w:jc w:val="center"/>
              <w:rPr>
                <w:rFonts w:hint="eastAsia" w:ascii="仿宋_GB2312" w:hAnsi="仿宋_GB2312" w:eastAsia="仿宋_GB2312" w:cs="仿宋_GB2312"/>
                <w:lang w:eastAsia="zh-CN"/>
              </w:rPr>
            </w:pPr>
          </w:p>
        </w:tc>
        <w:tc>
          <w:tcPr>
            <w:tcW w:w="1125" w:type="dxa"/>
            <w:vMerge w:val="continue"/>
            <w:tcBorders>
              <w:left w:val="single" w:color="auto" w:sz="4" w:space="0"/>
              <w:right w:val="single" w:color="auto" w:sz="4" w:space="0"/>
            </w:tcBorders>
          </w:tcPr>
          <w:p>
            <w:pPr>
              <w:rPr>
                <w:rFonts w:hint="eastAsia" w:ascii="仿宋_GB2312" w:hAnsi="仿宋_GB2312" w:eastAsia="仿宋_GB2312" w:cs="仿宋_GB2312"/>
                <w:lang w:eastAsia="zh-CN"/>
              </w:rPr>
            </w:pPr>
          </w:p>
        </w:tc>
        <w:tc>
          <w:tcPr>
            <w:tcW w:w="894" w:type="dxa"/>
            <w:vMerge w:val="continue"/>
            <w:tcBorders>
              <w:left w:val="single" w:color="auto" w:sz="4" w:space="0"/>
              <w:right w:val="single" w:color="auto" w:sz="4" w:space="0"/>
            </w:tcBorders>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327" w:type="dxa"/>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7.对民办学校侵犯受教育者的合法权益行为的申诉的处理</w:t>
            </w: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《中华人民共和国民办教育促进法》</w:t>
            </w:r>
          </w:p>
        </w:tc>
        <w:tc>
          <w:tcPr>
            <w:tcW w:w="7435" w:type="dxa"/>
          </w:tcPr>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r>
              <w:rPr>
                <w:rFonts w:hint="eastAsia" w:ascii="仿宋_GB2312" w:hAnsi="仿宋_GB2312" w:eastAsia="仿宋_GB2312" w:cs="仿宋_GB2312"/>
                <w:lang w:eastAsia="zh-CN"/>
              </w:rPr>
              <w:t>第</w:t>
            </w:r>
            <w:r>
              <w:rPr>
                <w:rFonts w:hint="eastAsia" w:ascii="仿宋_GB2312" w:hAnsi="仿宋_GB2312" w:eastAsia="仿宋_GB2312" w:cs="仿宋_GB2312"/>
              </w:rPr>
              <w:t>四十三条 民办学校侵犯受教育者的合法权益，受教育者及其亲属有权向教育行政部门和其他有关部门申诉，有关部门应当及时予以处理。</w:t>
            </w:r>
          </w:p>
        </w:tc>
        <w:tc>
          <w:tcPr>
            <w:tcW w:w="1558"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1125" w:type="dxa"/>
            <w:tcBorders>
              <w:left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894" w:type="dxa"/>
            <w:tcBorders>
              <w:left w:val="single" w:color="auto" w:sz="4" w:space="0"/>
              <w:right w:val="single" w:color="auto" w:sz="4" w:space="0"/>
            </w:tcBorders>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327" w:type="dxa"/>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p>
          <w:p>
            <w:pPr>
              <w:keepNext w:val="0"/>
              <w:keepLines w:val="0"/>
              <w:widowControl/>
              <w:suppressLineNumbers w:val="0"/>
              <w:jc w:val="left"/>
              <w:textAlignment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8.对学生申诉的处理</w:t>
            </w: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《中华人民共和国教育法》</w:t>
            </w:r>
          </w:p>
        </w:tc>
        <w:tc>
          <w:tcPr>
            <w:tcW w:w="7435" w:type="dxa"/>
          </w:tcPr>
          <w:p>
            <w:pPr>
              <w:ind w:firstLine="420" w:firstLineChars="200"/>
              <w:rPr>
                <w:rFonts w:hint="eastAsia" w:ascii="仿宋_GB2312" w:hAnsi="仿宋_GB2312" w:eastAsia="仿宋_GB2312" w:cs="仿宋_GB2312"/>
                <w:lang w:eastAsia="zh-CN"/>
              </w:rPr>
            </w:pPr>
          </w:p>
          <w:p>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第四十三条第四款 受教育者享有下列权利：（四）对学校给予的处分不服向有关部门提出申诉，对学校、教师侵犯其人身权、财产权等合法权益，提出申诉或者依法提起诉讼。</w:t>
            </w:r>
          </w:p>
        </w:tc>
        <w:tc>
          <w:tcPr>
            <w:tcW w:w="1558" w:type="dxa"/>
            <w:tcBorders>
              <w:left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1125" w:type="dxa"/>
            <w:tcBorders>
              <w:left w:val="single" w:color="auto" w:sz="4" w:space="0"/>
              <w:right w:val="single" w:color="auto" w:sz="4" w:space="0"/>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894" w:type="dxa"/>
            <w:tcBorders>
              <w:left w:val="single" w:color="auto" w:sz="4" w:space="0"/>
              <w:right w:val="single" w:color="auto" w:sz="4" w:space="0"/>
            </w:tcBorders>
          </w:tcPr>
          <w:p>
            <w:pPr>
              <w:rPr>
                <w:rFonts w:hint="eastAsia" w:ascii="仿宋_GB2312" w:hAnsi="仿宋_GB2312" w:eastAsia="仿宋_GB2312" w:cs="仿宋_GB2312"/>
              </w:rPr>
            </w:pPr>
          </w:p>
        </w:tc>
      </w:tr>
    </w:tbl>
    <w:p/>
    <w:sectPr>
      <w:footerReference r:id="rId3" w:type="default"/>
      <w:pgSz w:w="16838" w:h="11906" w:orient="landscape"/>
      <w:pgMar w:top="1701" w:right="1417" w:bottom="1417" w:left="1417" w:header="851"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63"/>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B9"/>
    <w:rsid w:val="00040965"/>
    <w:rsid w:val="000C70E6"/>
    <w:rsid w:val="000D6A20"/>
    <w:rsid w:val="00122127"/>
    <w:rsid w:val="0012213A"/>
    <w:rsid w:val="00141D52"/>
    <w:rsid w:val="001A1002"/>
    <w:rsid w:val="001B2747"/>
    <w:rsid w:val="001C71D1"/>
    <w:rsid w:val="001D52C7"/>
    <w:rsid w:val="001D66BE"/>
    <w:rsid w:val="00224DB6"/>
    <w:rsid w:val="002970EE"/>
    <w:rsid w:val="002C6CD8"/>
    <w:rsid w:val="002D266E"/>
    <w:rsid w:val="002E234C"/>
    <w:rsid w:val="002F1B6F"/>
    <w:rsid w:val="00315F57"/>
    <w:rsid w:val="00347D61"/>
    <w:rsid w:val="00381A96"/>
    <w:rsid w:val="00384D88"/>
    <w:rsid w:val="003E07EB"/>
    <w:rsid w:val="00496BB9"/>
    <w:rsid w:val="004C6ED5"/>
    <w:rsid w:val="00544EA2"/>
    <w:rsid w:val="00563284"/>
    <w:rsid w:val="005A73E3"/>
    <w:rsid w:val="005A7E90"/>
    <w:rsid w:val="005D5612"/>
    <w:rsid w:val="005D7064"/>
    <w:rsid w:val="006102CF"/>
    <w:rsid w:val="00613C81"/>
    <w:rsid w:val="00617D4A"/>
    <w:rsid w:val="0066700A"/>
    <w:rsid w:val="00687225"/>
    <w:rsid w:val="00704F9A"/>
    <w:rsid w:val="00795812"/>
    <w:rsid w:val="00805E52"/>
    <w:rsid w:val="00821BBB"/>
    <w:rsid w:val="00822339"/>
    <w:rsid w:val="00833FF8"/>
    <w:rsid w:val="00873A3C"/>
    <w:rsid w:val="00892440"/>
    <w:rsid w:val="008C0EAE"/>
    <w:rsid w:val="008C4BE2"/>
    <w:rsid w:val="00913901"/>
    <w:rsid w:val="009163AC"/>
    <w:rsid w:val="009D38C4"/>
    <w:rsid w:val="00A52D53"/>
    <w:rsid w:val="00B7126B"/>
    <w:rsid w:val="00B86574"/>
    <w:rsid w:val="00BD2527"/>
    <w:rsid w:val="00BF6AF2"/>
    <w:rsid w:val="00C2644B"/>
    <w:rsid w:val="00C85BB0"/>
    <w:rsid w:val="00CA2323"/>
    <w:rsid w:val="00CE7068"/>
    <w:rsid w:val="00DD56AD"/>
    <w:rsid w:val="00DE5FD5"/>
    <w:rsid w:val="00E52EA2"/>
    <w:rsid w:val="00E600EB"/>
    <w:rsid w:val="00F12EAF"/>
    <w:rsid w:val="00FB7AE0"/>
    <w:rsid w:val="02074C3A"/>
    <w:rsid w:val="020E6E6E"/>
    <w:rsid w:val="02543D5F"/>
    <w:rsid w:val="02D533B3"/>
    <w:rsid w:val="03E766F4"/>
    <w:rsid w:val="044B6418"/>
    <w:rsid w:val="04E81B1A"/>
    <w:rsid w:val="05110760"/>
    <w:rsid w:val="05176DE6"/>
    <w:rsid w:val="056C7B74"/>
    <w:rsid w:val="05EA4BBF"/>
    <w:rsid w:val="060879F3"/>
    <w:rsid w:val="071B07B5"/>
    <w:rsid w:val="07867E64"/>
    <w:rsid w:val="081A6159"/>
    <w:rsid w:val="09B6397C"/>
    <w:rsid w:val="0A133D15"/>
    <w:rsid w:val="0A53127C"/>
    <w:rsid w:val="0D0A5F71"/>
    <w:rsid w:val="0E79744D"/>
    <w:rsid w:val="0FD079FE"/>
    <w:rsid w:val="10C07307"/>
    <w:rsid w:val="12B51D40"/>
    <w:rsid w:val="13A206C4"/>
    <w:rsid w:val="13E855B5"/>
    <w:rsid w:val="1424523D"/>
    <w:rsid w:val="17DE2FB7"/>
    <w:rsid w:val="17F4515B"/>
    <w:rsid w:val="180D0283"/>
    <w:rsid w:val="18CA3EB9"/>
    <w:rsid w:val="1ADC4B9E"/>
    <w:rsid w:val="1B5857EC"/>
    <w:rsid w:val="1E20277C"/>
    <w:rsid w:val="1F106802"/>
    <w:rsid w:val="1FCB27B8"/>
    <w:rsid w:val="209D2B10"/>
    <w:rsid w:val="21A864C6"/>
    <w:rsid w:val="228B233C"/>
    <w:rsid w:val="24526424"/>
    <w:rsid w:val="24737C5E"/>
    <w:rsid w:val="24A91031"/>
    <w:rsid w:val="24E53415"/>
    <w:rsid w:val="26A533F5"/>
    <w:rsid w:val="29B47A74"/>
    <w:rsid w:val="2AF20181"/>
    <w:rsid w:val="2B04391F"/>
    <w:rsid w:val="2C4A1A38"/>
    <w:rsid w:val="2CC70292"/>
    <w:rsid w:val="2CE576B8"/>
    <w:rsid w:val="2D35073C"/>
    <w:rsid w:val="2F9F1AAF"/>
    <w:rsid w:val="325532A1"/>
    <w:rsid w:val="33857816"/>
    <w:rsid w:val="33B36A61"/>
    <w:rsid w:val="344062C5"/>
    <w:rsid w:val="345E10F8"/>
    <w:rsid w:val="35370DDB"/>
    <w:rsid w:val="357D01ED"/>
    <w:rsid w:val="35E037F3"/>
    <w:rsid w:val="377B3594"/>
    <w:rsid w:val="386E18A2"/>
    <w:rsid w:val="387E0E37"/>
    <w:rsid w:val="39635633"/>
    <w:rsid w:val="3997260A"/>
    <w:rsid w:val="3BF249E7"/>
    <w:rsid w:val="3CCD3451"/>
    <w:rsid w:val="3D4E4CA4"/>
    <w:rsid w:val="3FAA5D1E"/>
    <w:rsid w:val="40C27B4E"/>
    <w:rsid w:val="41031AB0"/>
    <w:rsid w:val="44900788"/>
    <w:rsid w:val="46554BF1"/>
    <w:rsid w:val="49921B40"/>
    <w:rsid w:val="49C04C0E"/>
    <w:rsid w:val="4A0059F7"/>
    <w:rsid w:val="4ACE1548"/>
    <w:rsid w:val="4AEA33F6"/>
    <w:rsid w:val="4B8237E9"/>
    <w:rsid w:val="4D8465BE"/>
    <w:rsid w:val="4E5F5F21"/>
    <w:rsid w:val="4EF03291"/>
    <w:rsid w:val="4F213A60"/>
    <w:rsid w:val="4F2E52F4"/>
    <w:rsid w:val="4F4F5829"/>
    <w:rsid w:val="50190775"/>
    <w:rsid w:val="50B01F21"/>
    <w:rsid w:val="5139664E"/>
    <w:rsid w:val="51E57DEC"/>
    <w:rsid w:val="52F9662F"/>
    <w:rsid w:val="53813090"/>
    <w:rsid w:val="549E4761"/>
    <w:rsid w:val="55B30A26"/>
    <w:rsid w:val="562B51ED"/>
    <w:rsid w:val="57376624"/>
    <w:rsid w:val="57707A82"/>
    <w:rsid w:val="5AD2718F"/>
    <w:rsid w:val="5AF71F4D"/>
    <w:rsid w:val="5CE0146E"/>
    <w:rsid w:val="5D161948"/>
    <w:rsid w:val="5E865022"/>
    <w:rsid w:val="5F2B57AF"/>
    <w:rsid w:val="607712E9"/>
    <w:rsid w:val="62820D2A"/>
    <w:rsid w:val="646B664C"/>
    <w:rsid w:val="646C40CD"/>
    <w:rsid w:val="646E2E54"/>
    <w:rsid w:val="672C74D4"/>
    <w:rsid w:val="67822461"/>
    <w:rsid w:val="6815094A"/>
    <w:rsid w:val="68682953"/>
    <w:rsid w:val="69787099"/>
    <w:rsid w:val="69D770B2"/>
    <w:rsid w:val="6A605D12"/>
    <w:rsid w:val="6B352E71"/>
    <w:rsid w:val="6C943AB3"/>
    <w:rsid w:val="6CA05347"/>
    <w:rsid w:val="6DA170E8"/>
    <w:rsid w:val="6E1164A3"/>
    <w:rsid w:val="6EBE403D"/>
    <w:rsid w:val="6ECC6BD6"/>
    <w:rsid w:val="6F080FB9"/>
    <w:rsid w:val="6F7637EB"/>
    <w:rsid w:val="7000374F"/>
    <w:rsid w:val="70313F1E"/>
    <w:rsid w:val="727566D7"/>
    <w:rsid w:val="72A417A5"/>
    <w:rsid w:val="72C41CD9"/>
    <w:rsid w:val="739026A7"/>
    <w:rsid w:val="73D16993"/>
    <w:rsid w:val="751C78AF"/>
    <w:rsid w:val="751F40B7"/>
    <w:rsid w:val="75641328"/>
    <w:rsid w:val="75A75295"/>
    <w:rsid w:val="75EA7003"/>
    <w:rsid w:val="77086156"/>
    <w:rsid w:val="77904DB5"/>
    <w:rsid w:val="7795123D"/>
    <w:rsid w:val="77AD2167"/>
    <w:rsid w:val="78543BF9"/>
    <w:rsid w:val="78993069"/>
    <w:rsid w:val="793A2BF2"/>
    <w:rsid w:val="7B9F58E0"/>
    <w:rsid w:val="7BB42002"/>
    <w:rsid w:val="7BD67FB8"/>
    <w:rsid w:val="7CA33E88"/>
    <w:rsid w:val="7DA44D30"/>
    <w:rsid w:val="7E8D4CAE"/>
    <w:rsid w:val="EDAF0C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character" w:customStyle="1" w:styleId="11">
    <w:name w:val="font01"/>
    <w:basedOn w:val="7"/>
    <w:qFormat/>
    <w:uiPriority w:val="0"/>
    <w:rPr>
      <w:rFonts w:ascii="font-weight : 400" w:hAnsi="font-weight : 400" w:eastAsia="font-weight : 400" w:cs="font-weight : 400"/>
      <w:color w:val="000000"/>
      <w:sz w:val="22"/>
      <w:szCs w:val="22"/>
      <w:u w:val="none"/>
    </w:rPr>
  </w:style>
  <w:style w:type="character" w:customStyle="1" w:styleId="12">
    <w:name w:val="font11"/>
    <w:basedOn w:val="7"/>
    <w:qFormat/>
    <w:uiPriority w:val="0"/>
    <w:rPr>
      <w:rFonts w:ascii="font-weight : 700" w:hAnsi="font-weight : 700" w:eastAsia="font-weight : 700" w:cs="font-weight : 7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740</Words>
  <Characters>4218</Characters>
  <Lines>35</Lines>
  <Paragraphs>9</Paragraphs>
  <TotalTime>1</TotalTime>
  <ScaleCrop>false</ScaleCrop>
  <LinksUpToDate>false</LinksUpToDate>
  <CharactersWithSpaces>4949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2019-07-23T11:06:00Z</dcterms:created>
  <dc:creator>LY</dc:creator>
  <cp:lastModifiedBy>user</cp:lastModifiedBy>
  <cp:lastPrinted>2024-06-14T07:51:00Z</cp:lastPrinted>
  <dcterms:modified xsi:type="dcterms:W3CDTF">2024-07-03T09:32:46Z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DF69F13D6BD4ACF73EAA84668F10DDF9</vt:lpwstr>
  </property>
</Properties>
</file>