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2022年度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ind w:firstLine="1120" w:firstLineChars="200"/>
        <w:jc w:val="both"/>
        <w:outlineLvl w:val="1"/>
        <w:rPr>
          <w:rFonts w:hint="eastAsia" w:ascii="方正小标宋简体" w:hAnsi="方正小标宋简体" w:eastAsia="方正小标宋简体" w:cs="方正小标宋简体"/>
          <w:bCs/>
          <w:kern w:val="0"/>
          <w:sz w:val="56"/>
          <w:szCs w:val="56"/>
        </w:rPr>
      </w:pPr>
      <w:r>
        <w:rPr>
          <w:rFonts w:hint="eastAsia" w:ascii="方正小标宋简体" w:hAnsi="方正小标宋简体" w:eastAsia="方正小标宋简体" w:cs="方正小标宋简体"/>
          <w:bCs/>
          <w:kern w:val="0"/>
          <w:sz w:val="56"/>
          <w:szCs w:val="56"/>
        </w:rPr>
        <w:t>固原市原州区土地房屋</w:t>
      </w:r>
    </w:p>
    <w:p>
      <w:pPr>
        <w:spacing w:before="100" w:beforeAutospacing="1" w:after="100" w:afterAutospacing="1" w:line="1000" w:lineRule="exact"/>
        <w:ind w:firstLine="1680" w:firstLineChars="300"/>
        <w:jc w:val="both"/>
        <w:outlineLvl w:val="1"/>
        <w:rPr>
          <w:rFonts w:ascii="方正小标宋简体" w:hAnsi="方正小标宋简体" w:eastAsia="方正小标宋简体" w:cs="方正小标宋简体"/>
          <w:bCs/>
          <w:kern w:val="0"/>
          <w:sz w:val="56"/>
          <w:szCs w:val="56"/>
        </w:rPr>
      </w:pPr>
      <w:r>
        <w:rPr>
          <w:rFonts w:hint="eastAsia" w:ascii="方正小标宋简体" w:hAnsi="方正小标宋简体" w:eastAsia="方正小标宋简体" w:cs="方正小标宋简体"/>
          <w:bCs/>
          <w:kern w:val="0"/>
          <w:sz w:val="56"/>
          <w:szCs w:val="56"/>
        </w:rPr>
        <w:t>征收办公室部门决算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784" w:firstLineChars="245"/>
        <w:outlineLvl w:val="1"/>
        <w:rPr>
          <w:rFonts w:hint="default" w:eastAsia="仿宋_GB2312"/>
          <w:kern w:val="0"/>
          <w:sz w:val="32"/>
          <w:szCs w:val="32"/>
          <w:lang w:val="en-US" w:eastAsia="zh-CN"/>
        </w:rPr>
      </w:pPr>
      <w:r>
        <w:rPr>
          <w:rFonts w:hint="eastAsia" w:eastAsia="仿宋_GB2312"/>
          <w:kern w:val="0"/>
          <w:sz w:val="32"/>
          <w:szCs w:val="32"/>
          <w:lang w:val="en-US" w:eastAsia="zh-CN"/>
        </w:rPr>
        <w:t>原州区土地房屋征收办公室是原州区综合执法局的二级单位，独立法人，海连明，事业编5人，实有5人，工作职责，全市范围内土地房屋征收工作。</w:t>
      </w:r>
    </w:p>
    <w:p>
      <w:pPr>
        <w:numPr>
          <w:ilvl w:val="0"/>
          <w:numId w:val="1"/>
        </w:numPr>
        <w:spacing w:line="580" w:lineRule="exact"/>
        <w:ind w:firstLine="800" w:firstLineChars="250"/>
        <w:outlineLvl w:val="1"/>
        <w:rPr>
          <w:rFonts w:hint="eastAsia" w:eastAsia="仿宋_GB2312"/>
          <w:kern w:val="0"/>
          <w:sz w:val="32"/>
          <w:szCs w:val="32"/>
        </w:rPr>
      </w:pPr>
      <w:r>
        <w:rPr>
          <w:rFonts w:hint="eastAsia" w:eastAsia="仿宋_GB2312"/>
          <w:kern w:val="0"/>
          <w:sz w:val="32"/>
          <w:szCs w:val="32"/>
        </w:rPr>
        <w:t>机构设置</w:t>
      </w:r>
    </w:p>
    <w:p>
      <w:pPr>
        <w:numPr>
          <w:ilvl w:val="0"/>
          <w:numId w:val="0"/>
        </w:numPr>
        <w:spacing w:line="580" w:lineRule="exact"/>
        <w:ind w:firstLine="640" w:firstLineChars="200"/>
        <w:outlineLvl w:val="1"/>
        <w:rPr>
          <w:rFonts w:hint="eastAsia" w:eastAsia="仿宋_GB2312"/>
          <w:kern w:val="0"/>
          <w:sz w:val="32"/>
          <w:szCs w:val="32"/>
          <w:lang w:eastAsia="zh-CN"/>
        </w:rPr>
      </w:pPr>
      <w:r>
        <w:rPr>
          <w:rFonts w:hint="eastAsia" w:eastAsia="仿宋_GB2312"/>
          <w:kern w:val="0"/>
          <w:sz w:val="32"/>
          <w:szCs w:val="32"/>
          <w:lang w:eastAsia="zh-CN"/>
        </w:rPr>
        <w:t>二级单位预算单位</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2022年度部门决算表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eastAsia="仿宋_GB2312"/>
          <w:sz w:val="32"/>
          <w:szCs w:val="32"/>
        </w:rPr>
      </w:pPr>
      <w:r>
        <w:rPr>
          <w:rFonts w:hint="eastAsia" w:eastAsia="仿宋_GB2312"/>
          <w:sz w:val="32"/>
          <w:szCs w:val="32"/>
        </w:rPr>
        <w:t>九、国有资本经营预算财政拨款支出决算表</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2022年度部门决算情况说明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十、</w:t>
      </w:r>
      <w:r>
        <w:rPr>
          <w:rFonts w:eastAsia="仿宋_GB2312"/>
          <w:kern w:val="0"/>
          <w:sz w:val="32"/>
          <w:szCs w:val="32"/>
        </w:rPr>
        <w:t>其他重要事项的情况说明</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（一）机关运行经费支出情况说明</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2022年度本部门机关运行经费支出31,482.70元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比2021年度增加20,712.91元，增长65.79%。主要原因是：办公费增加了11,529.00元,差旅费增加了6,400.00元 ,维修(护)费增加了6,038.00元,工会经费增加了459.7元.</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beforeLines="50" w:line="580" w:lineRule="exact"/>
        <w:jc w:val="both"/>
        <w:outlineLvl w:val="1"/>
        <w:rPr>
          <w:rFonts w:ascii="仿宋_GB2312" w:hAnsi="仿宋_GB2312" w:eastAsia="仿宋_GB2312" w:cs="仿宋_GB2312"/>
          <w:kern w:val="0"/>
          <w:sz w:val="32"/>
          <w:szCs w:val="32"/>
        </w:rPr>
      </w:pPr>
    </w:p>
    <w:p>
      <w:pPr>
        <w:widowControl/>
        <w:spacing w:line="560" w:lineRule="exact"/>
        <w:ind w:firstLine="480"/>
        <w:jc w:val="left"/>
        <w:rPr>
          <w:rFonts w:ascii="仿宋_GB2312" w:hAnsi="仿宋_GB2312" w:eastAsia="仿宋_GB2312" w:cs="仿宋_GB2312"/>
          <w:kern w:val="0"/>
          <w:sz w:val="32"/>
          <w:szCs w:val="32"/>
        </w:rPr>
      </w:pPr>
    </w:p>
    <w:p>
      <w:pPr>
        <w:widowControl/>
        <w:spacing w:line="560" w:lineRule="exact"/>
        <w:ind w:firstLine="480"/>
        <w:jc w:val="left"/>
        <w:rPr>
          <w:rFonts w:ascii="仿宋_GB2312" w:hAnsi="仿宋_GB2312" w:eastAsia="仿宋_GB2312" w:cs="仿宋_GB2312"/>
          <w:kern w:val="0"/>
          <w:sz w:val="32"/>
          <w:szCs w:val="32"/>
        </w:rPr>
      </w:pPr>
    </w:p>
    <w:p>
      <w:pPr>
        <w:widowControl/>
        <w:spacing w:line="560" w:lineRule="exact"/>
        <w:ind w:firstLine="480"/>
        <w:jc w:val="left"/>
        <w:rPr>
          <w:rFonts w:ascii="仿宋_GB2312" w:hAnsi="仿宋_GB2312" w:eastAsia="仿宋_GB2312" w:cs="仿宋_GB2312"/>
          <w:kern w:val="0"/>
          <w:sz w:val="32"/>
          <w:szCs w:val="32"/>
        </w:rPr>
      </w:pPr>
    </w:p>
    <w:p>
      <w:pPr>
        <w:widowControl/>
        <w:spacing w:line="560" w:lineRule="exact"/>
        <w:ind w:firstLine="480"/>
        <w:jc w:val="left"/>
        <w:rPr>
          <w:rFonts w:ascii="仿宋_GB2312" w:hAnsi="仿宋_GB2312" w:eastAsia="仿宋_GB2312" w:cs="仿宋_GB2312"/>
          <w:kern w:val="0"/>
          <w:sz w:val="32"/>
          <w:szCs w:val="32"/>
        </w:rPr>
      </w:pPr>
    </w:p>
    <w:p>
      <w:pPr>
        <w:widowControl/>
        <w:spacing w:line="560" w:lineRule="exact"/>
        <w:ind w:firstLine="480"/>
        <w:jc w:val="left"/>
        <w:rPr>
          <w:rFonts w:ascii="仿宋_GB2312" w:hAnsi="仿宋_GB2312" w:eastAsia="仿宋_GB2312" w:cs="仿宋_GB2312"/>
          <w:kern w:val="0"/>
          <w:sz w:val="32"/>
          <w:szCs w:val="32"/>
        </w:rPr>
      </w:pPr>
    </w:p>
    <w:p>
      <w:pPr>
        <w:widowControl/>
        <w:spacing w:line="560" w:lineRule="exact"/>
        <w:ind w:firstLine="480"/>
        <w:jc w:val="left"/>
        <w:rPr>
          <w:rFonts w:ascii="仿宋_GB2312" w:hAnsi="仿宋_GB2312" w:eastAsia="仿宋_GB2312" w:cs="仿宋_GB2312"/>
          <w:kern w:val="0"/>
          <w:sz w:val="32"/>
          <w:szCs w:val="32"/>
        </w:rPr>
      </w:pPr>
    </w:p>
    <w:p>
      <w:pPr>
        <w:widowControl/>
        <w:spacing w:line="560" w:lineRule="exact"/>
        <w:ind w:firstLine="480"/>
        <w:jc w:val="left"/>
        <w:rPr>
          <w:rFonts w:ascii="仿宋_GB2312" w:hAnsi="仿宋_GB2312" w:eastAsia="仿宋_GB2312" w:cs="仿宋_GB2312"/>
          <w:kern w:val="0"/>
          <w:sz w:val="32"/>
          <w:szCs w:val="32"/>
        </w:rPr>
      </w:pPr>
    </w:p>
    <w:p>
      <w:pPr>
        <w:widowControl/>
        <w:spacing w:line="560" w:lineRule="exact"/>
        <w:ind w:firstLine="480"/>
        <w:jc w:val="left"/>
        <w:rPr>
          <w:rFonts w:ascii="仿宋_GB2312" w:hAnsi="仿宋_GB2312" w:eastAsia="仿宋_GB2312" w:cs="仿宋_GB2312"/>
          <w:kern w:val="0"/>
          <w:sz w:val="32"/>
          <w:szCs w:val="32"/>
        </w:rPr>
      </w:pPr>
    </w:p>
    <w:p>
      <w:pPr>
        <w:widowControl/>
        <w:spacing w:line="560" w:lineRule="exact"/>
        <w:ind w:firstLine="480"/>
        <w:jc w:val="left"/>
        <w:rPr>
          <w:rFonts w:ascii="仿宋_GB2312" w:hAnsi="仿宋_GB2312" w:eastAsia="仿宋_GB2312" w:cs="仿宋_GB2312"/>
          <w:kern w:val="0"/>
          <w:sz w:val="32"/>
          <w:szCs w:val="32"/>
        </w:rPr>
      </w:pPr>
    </w:p>
    <w:p>
      <w:pPr>
        <w:widowControl/>
        <w:spacing w:line="560" w:lineRule="exact"/>
        <w:ind w:firstLine="480"/>
        <w:jc w:val="left"/>
        <w:rPr>
          <w:rFonts w:ascii="仿宋_GB2312" w:hAnsi="仿宋_GB2312" w:eastAsia="仿宋_GB2312" w:cs="仿宋_GB2312"/>
          <w:kern w:val="0"/>
          <w:sz w:val="32"/>
          <w:szCs w:val="32"/>
        </w:rPr>
      </w:pPr>
      <w:bookmarkStart w:id="0" w:name="_GoBack"/>
      <w:bookmarkEnd w:id="0"/>
    </w:p>
    <w:p>
      <w:pPr>
        <w:widowControl/>
        <w:spacing w:line="560" w:lineRule="exact"/>
        <w:ind w:firstLine="480"/>
        <w:jc w:val="left"/>
        <w:rPr>
          <w:rFonts w:ascii="仿宋_GB2312" w:hAnsi="仿宋_GB2312" w:eastAsia="仿宋_GB2312" w:cs="仿宋_GB2312"/>
          <w:kern w:val="0"/>
          <w:sz w:val="32"/>
          <w:szCs w:val="32"/>
        </w:rPr>
      </w:pPr>
    </w:p>
    <w:p>
      <w:pPr>
        <w:widowControl/>
        <w:spacing w:line="560" w:lineRule="exact"/>
        <w:jc w:val="left"/>
        <w:rPr>
          <w:rFonts w:ascii="仿宋_GB2312" w:hAnsi="仿宋_GB2312" w:eastAsia="仿宋_GB2312" w:cs="仿宋_GB2312"/>
          <w:kern w:val="0"/>
          <w:sz w:val="32"/>
          <w:szCs w:val="32"/>
        </w:rPr>
        <w:sectPr>
          <w:pgSz w:w="11906" w:h="16838"/>
          <w:pgMar w:top="1440" w:right="1800" w:bottom="1440" w:left="1800" w:header="851" w:footer="992" w:gutter="0"/>
          <w:cols w:space="425" w:num="1"/>
          <w:docGrid w:type="lines" w:linePitch="312" w:charSpace="0"/>
        </w:sectPr>
      </w:pPr>
    </w:p>
    <w:tbl>
      <w:tblPr>
        <w:tblStyle w:val="6"/>
        <w:tblpPr w:leftFromText="180" w:rightFromText="180" w:vertAnchor="page" w:horzAnchor="margin" w:tblpY="2281"/>
        <w:tblW w:w="5000" w:type="pct"/>
        <w:tblInd w:w="0" w:type="dxa"/>
        <w:tblLayout w:type="autofit"/>
        <w:tblCellMar>
          <w:top w:w="0" w:type="dxa"/>
          <w:left w:w="108" w:type="dxa"/>
          <w:bottom w:w="0" w:type="dxa"/>
          <w:right w:w="108" w:type="dxa"/>
        </w:tblCellMar>
      </w:tblPr>
      <w:tblGrid>
        <w:gridCol w:w="5483"/>
        <w:gridCol w:w="740"/>
        <w:gridCol w:w="1930"/>
        <w:gridCol w:w="4244"/>
        <w:gridCol w:w="703"/>
        <w:gridCol w:w="2514"/>
      </w:tblGrid>
      <w:tr>
        <w:tblPrEx>
          <w:tblCellMar>
            <w:top w:w="0" w:type="dxa"/>
            <w:left w:w="108" w:type="dxa"/>
            <w:bottom w:w="0" w:type="dxa"/>
            <w:right w:w="108" w:type="dxa"/>
          </w:tblCellMar>
        </w:tblPrEx>
        <w:trPr>
          <w:trHeight w:val="273" w:hRule="exact"/>
        </w:trPr>
        <w:tc>
          <w:tcPr>
            <w:tcW w:w="2611" w:type="pct"/>
            <w:gridSpan w:val="3"/>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2389" w:type="pct"/>
            <w:gridSpan w:val="3"/>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1,059,726.72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6,934,236.57　</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三、国有资本经营预算财政拨款收入</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四、上级补助收入</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五、事业收入</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六、经营收入</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七、附属单位上缴收入</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八、其他收入</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14,565,632.00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137,628.52　</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31,788.69　</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34,088,262.04　</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十四、资源勘探工业信息等支出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42"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124,174.32　</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二十一、国有资本经营预算支出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二十二、灾害防治及应急管理支出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二十三、其他支出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二十四、债务还本支出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二十五、债务付息支出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84"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二十六、抗疫特别国债安排的支出</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15,625,358.72</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59</w:t>
            </w:r>
          </w:p>
          <w:p>
            <w:pPr>
              <w:widowControl/>
              <w:jc w:val="center"/>
              <w:rPr>
                <w:rFonts w:ascii="宋体" w:hAnsi="宋体" w:cs="Arial"/>
                <w:color w:val="000000"/>
                <w:kern w:val="0"/>
                <w:sz w:val="18"/>
                <w:szCs w:val="18"/>
              </w:rPr>
            </w:pP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使用非财政拨款结余</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60</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年初结转和结余41,223,995.82</w:t>
            </w:r>
          </w:p>
        </w:tc>
        <w:tc>
          <w:tcPr>
            <w:tcW w:w="2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6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41,161,483.82　</w:t>
            </w:r>
          </w:p>
        </w:tc>
        <w:tc>
          <w:tcPr>
            <w:tcW w:w="13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61</w:t>
            </w:r>
          </w:p>
        </w:tc>
        <w:tc>
          <w:tcPr>
            <w:tcW w:w="805" w:type="pct"/>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3" w:hRule="exact"/>
        </w:trPr>
        <w:tc>
          <w:tcPr>
            <w:tcW w:w="1756" w:type="pct"/>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237" w:type="pct"/>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618" w:type="pct"/>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56.786,842.54,　</w:t>
            </w:r>
          </w:p>
        </w:tc>
        <w:tc>
          <w:tcPr>
            <w:tcW w:w="1359" w:type="pct"/>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225" w:type="pct"/>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62</w:t>
            </w:r>
          </w:p>
        </w:tc>
        <w:tc>
          <w:tcPr>
            <w:tcW w:w="805" w:type="pct"/>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w:t>
            </w:r>
          </w:p>
        </w:tc>
      </w:tr>
    </w:tbl>
    <w:p>
      <w:pPr>
        <w:spacing w:beforeLines="50" w:line="580" w:lineRule="exact"/>
        <w:ind w:firstLine="5250" w:firstLineChars="1750"/>
        <w:outlineLvl w:val="1"/>
        <w:rPr>
          <w:rFonts w:ascii="黑体" w:hAnsi="黑体" w:eastAsia="黑体" w:cs="黑体"/>
          <w:b/>
          <w:bCs/>
          <w:color w:val="000000"/>
          <w:kern w:val="0"/>
          <w:sz w:val="30"/>
          <w:szCs w:val="30"/>
        </w:rPr>
      </w:pPr>
      <w:r>
        <w:rPr>
          <w:rFonts w:hint="eastAsia" w:ascii="黑体" w:hAnsi="黑体" w:eastAsia="黑体" w:cs="黑体"/>
          <w:kern w:val="0"/>
          <w:sz w:val="30"/>
          <w:szCs w:val="30"/>
        </w:rPr>
        <w:t>第二部分  2022年度部门决算表</w:t>
      </w:r>
    </w:p>
    <w:p>
      <w:pPr>
        <w:widowControl/>
        <w:spacing w:line="20" w:lineRule="atLeast"/>
        <w:jc w:val="left"/>
        <w:rPr>
          <w:rFonts w:ascii="宋体" w:hAnsi="宋体" w:cs="Arial"/>
          <w:b/>
          <w:bCs/>
          <w:color w:val="000000"/>
          <w:kern w:val="0"/>
          <w:sz w:val="28"/>
          <w:szCs w:val="28"/>
        </w:rPr>
      </w:pPr>
      <w:r>
        <w:rPr>
          <w:rFonts w:hint="eastAsia" w:ascii="宋体" w:hAnsi="宋体" w:cs="Arial"/>
          <w:b/>
          <w:bCs/>
          <w:color w:val="000000"/>
          <w:kern w:val="0"/>
          <w:sz w:val="28"/>
          <w:szCs w:val="28"/>
        </w:rPr>
        <w:t xml:space="preserve">                                               收入支出决算总表</w:t>
      </w:r>
    </w:p>
    <w:p>
      <w:pPr>
        <w:widowControl/>
        <w:spacing w:line="20" w:lineRule="atLeast"/>
        <w:ind w:right="420"/>
        <w:jc w:val="center"/>
        <w:rPr>
          <w:rFonts w:ascii="宋体" w:hAnsi="宋体" w:cs="Arial"/>
          <w:bCs/>
          <w:color w:val="000000"/>
          <w:kern w:val="0"/>
          <w:szCs w:val="21"/>
        </w:rPr>
      </w:pPr>
      <w:r>
        <w:rPr>
          <w:rFonts w:hint="eastAsia" w:ascii="宋体" w:hAnsi="宋体" w:cs="Arial"/>
          <w:bCs/>
          <w:color w:val="000000"/>
          <w:kern w:val="0"/>
          <w:szCs w:val="21"/>
        </w:rPr>
        <w:t xml:space="preserve">                                                                                                                                  财决01表</w:t>
      </w:r>
    </w:p>
    <w:p>
      <w:pPr>
        <w:widowControl/>
        <w:spacing w:line="20" w:lineRule="atLeast"/>
        <w:jc w:val="left"/>
        <w:rPr>
          <w:rFonts w:ascii="宋体" w:hAnsi="宋体" w:cs="Arial"/>
          <w:bCs/>
          <w:color w:val="000000"/>
          <w:kern w:val="0"/>
          <w:szCs w:val="21"/>
        </w:rPr>
      </w:pPr>
      <w:r>
        <w:rPr>
          <w:rFonts w:hint="eastAsia" w:ascii="宋体" w:hAnsi="宋体" w:cs="Arial"/>
          <w:bCs/>
          <w:color w:val="000000"/>
          <w:kern w:val="0"/>
          <w:szCs w:val="21"/>
        </w:rPr>
        <w:t xml:space="preserve">公开部门:宁夏回族自治区固原市原州区土地房屋征收办公室  </w:t>
      </w:r>
      <w:r>
        <w:rPr>
          <w:rFonts w:hint="eastAsia" w:ascii="宋体" w:hAnsi="宋体" w:cs="Arial"/>
          <w:bCs/>
          <w:color w:val="000000"/>
          <w:kern w:val="0"/>
          <w:sz w:val="28"/>
          <w:szCs w:val="28"/>
        </w:rPr>
        <w:t xml:space="preserve">  </w:t>
      </w:r>
      <w:r>
        <w:rPr>
          <w:rFonts w:hint="eastAsia" w:ascii="宋体" w:hAnsi="宋体" w:cs="Arial"/>
          <w:bCs/>
          <w:color w:val="000000"/>
          <w:kern w:val="0"/>
          <w:szCs w:val="21"/>
        </w:rPr>
        <w:t>2022年度                                                                  金额单位:元</w:t>
      </w:r>
    </w:p>
    <w:p>
      <w:pPr>
        <w:spacing w:line="580" w:lineRule="exact"/>
      </w:pPr>
    </w:p>
    <w:p>
      <w:pPr>
        <w:ind w:firstLine="6692" w:firstLineChars="2390"/>
        <w:rPr>
          <w:b/>
          <w:sz w:val="28"/>
          <w:szCs w:val="28"/>
        </w:rPr>
      </w:pPr>
      <w:r>
        <w:rPr>
          <w:rFonts w:hint="eastAsia"/>
          <w:b/>
          <w:sz w:val="28"/>
          <w:szCs w:val="28"/>
        </w:rPr>
        <w:t xml:space="preserve">收入预算表     </w:t>
      </w:r>
    </w:p>
    <w:p>
      <w:pPr>
        <w:spacing w:line="240" w:lineRule="atLeast"/>
        <w:ind w:firstLine="13125" w:firstLineChars="6250"/>
        <w:rPr>
          <w:szCs w:val="21"/>
        </w:rPr>
      </w:pPr>
      <w:r>
        <w:rPr>
          <w:rFonts w:hint="eastAsia"/>
          <w:szCs w:val="21"/>
        </w:rPr>
        <w:t>财决02表</w:t>
      </w:r>
    </w:p>
    <w:p>
      <w:pPr>
        <w:rPr>
          <w:szCs w:val="21"/>
        </w:rPr>
      </w:pPr>
      <w:r>
        <w:rPr>
          <w:rFonts w:hint="eastAsia"/>
          <w:szCs w:val="21"/>
        </w:rPr>
        <w:t>公开单位:宁夏回族自治区固原市原州区土地房屋征收办公室</w:t>
      </w:r>
      <w:r>
        <w:rPr>
          <w:rFonts w:hint="eastAsia"/>
          <w:sz w:val="28"/>
          <w:szCs w:val="28"/>
        </w:rPr>
        <w:t xml:space="preserve">          </w:t>
      </w:r>
      <w:r>
        <w:rPr>
          <w:rFonts w:hint="eastAsia"/>
          <w:szCs w:val="21"/>
        </w:rPr>
        <w:t xml:space="preserve">2022年度                                                   金额单位:元                                                </w:t>
      </w:r>
    </w:p>
    <w:tbl>
      <w:tblPr>
        <w:tblStyle w:val="6"/>
        <w:tblpPr w:leftFromText="180" w:rightFromText="180" w:vertAnchor="text" w:horzAnchor="margin" w:tblpY="488"/>
        <w:tblOverlap w:val="never"/>
        <w:tblW w:w="14873" w:type="dxa"/>
        <w:tblInd w:w="0" w:type="dxa"/>
        <w:tblLayout w:type="fixed"/>
        <w:tblCellMar>
          <w:top w:w="0" w:type="dxa"/>
          <w:left w:w="108" w:type="dxa"/>
          <w:bottom w:w="0" w:type="dxa"/>
          <w:right w:w="108" w:type="dxa"/>
        </w:tblCellMar>
      </w:tblPr>
      <w:tblGrid>
        <w:gridCol w:w="440"/>
        <w:gridCol w:w="440"/>
        <w:gridCol w:w="440"/>
        <w:gridCol w:w="2376"/>
        <w:gridCol w:w="1418"/>
        <w:gridCol w:w="1417"/>
        <w:gridCol w:w="1155"/>
        <w:gridCol w:w="950"/>
        <w:gridCol w:w="1410"/>
        <w:gridCol w:w="1737"/>
        <w:gridCol w:w="1689"/>
        <w:gridCol w:w="1401"/>
      </w:tblGrid>
      <w:tr>
        <w:tblPrEx>
          <w:tblCellMar>
            <w:top w:w="0" w:type="dxa"/>
            <w:left w:w="108" w:type="dxa"/>
            <w:bottom w:w="0" w:type="dxa"/>
            <w:right w:w="108" w:type="dxa"/>
          </w:tblCellMar>
        </w:tblPrEx>
        <w:trPr>
          <w:trHeight w:val="308" w:hRule="atLeast"/>
        </w:trPr>
        <w:tc>
          <w:tcPr>
            <w:tcW w:w="369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418" w:type="dxa"/>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417" w:type="dxa"/>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1155" w:type="dxa"/>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2360"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737" w:type="dxa"/>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689" w:type="dxa"/>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401" w:type="dxa"/>
            <w:vMerge w:val="restart"/>
            <w:tcBorders>
              <w:top w:val="single" w:color="000000" w:sz="8" w:space="0"/>
              <w:left w:val="nil"/>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CellMar>
            <w:top w:w="0" w:type="dxa"/>
            <w:left w:w="108" w:type="dxa"/>
            <w:bottom w:w="0" w:type="dxa"/>
            <w:right w:w="108" w:type="dxa"/>
          </w:tblCellMar>
        </w:tblPrEx>
        <w:trPr>
          <w:trHeight w:val="372"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2376" w:type="dxa"/>
            <w:vMerge w:val="restart"/>
            <w:tcBorders>
              <w:top w:val="nil"/>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418" w:type="dxa"/>
            <w:vMerge w:val="continue"/>
            <w:tcBorders>
              <w:left w:val="nil"/>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417" w:type="dxa"/>
            <w:vMerge w:val="continue"/>
            <w:tcBorders>
              <w:left w:val="nil"/>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155" w:type="dxa"/>
            <w:vMerge w:val="continue"/>
            <w:tcBorders>
              <w:left w:val="nil"/>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2360" w:type="dxa"/>
            <w:gridSpan w:val="2"/>
            <w:vMerge w:val="continue"/>
            <w:tcBorders>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737" w:type="dxa"/>
            <w:vMerge w:val="continue"/>
            <w:tcBorders>
              <w:left w:val="nil"/>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689" w:type="dxa"/>
            <w:vMerge w:val="continue"/>
            <w:tcBorders>
              <w:left w:val="nil"/>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401" w:type="dxa"/>
            <w:vMerge w:val="continue"/>
            <w:tcBorders>
              <w:left w:val="nil"/>
              <w:right w:val="single" w:color="000000" w:sz="8" w:space="0"/>
            </w:tcBorders>
            <w:vAlign w:val="center"/>
          </w:tcPr>
          <w:p>
            <w:pPr>
              <w:widowControl/>
              <w:jc w:val="center"/>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601" w:hRule="atLeast"/>
        </w:trPr>
        <w:tc>
          <w:tcPr>
            <w:tcW w:w="440" w:type="dxa"/>
            <w:vMerge w:val="restart"/>
            <w:tcBorders>
              <w:top w:val="nil"/>
              <w:left w:val="single" w:color="000000" w:sz="8"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440" w:type="dxa"/>
            <w:vMerge w:val="restart"/>
            <w:tcBorders>
              <w:top w:val="nil"/>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440" w:type="dxa"/>
            <w:vMerge w:val="restart"/>
            <w:tcBorders>
              <w:top w:val="nil"/>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2376" w:type="dxa"/>
            <w:vMerge w:val="continue"/>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418" w:type="dxa"/>
            <w:vMerge w:val="continue"/>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417" w:type="dxa"/>
            <w:vMerge w:val="continue"/>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155" w:type="dxa"/>
            <w:vMerge w:val="continue"/>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950"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小计</w:t>
            </w:r>
          </w:p>
        </w:tc>
        <w:tc>
          <w:tcPr>
            <w:tcW w:w="1410"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其中：教育收费</w:t>
            </w:r>
          </w:p>
        </w:tc>
        <w:tc>
          <w:tcPr>
            <w:tcW w:w="1737" w:type="dxa"/>
            <w:vMerge w:val="continue"/>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689" w:type="dxa"/>
            <w:vMerge w:val="continue"/>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401" w:type="dxa"/>
            <w:vMerge w:val="continue"/>
            <w:tcBorders>
              <w:left w:val="nil"/>
              <w:bottom w:val="single" w:color="000000" w:sz="4" w:space="0"/>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440" w:type="dxa"/>
            <w:vMerge w:val="continue"/>
            <w:tcBorders>
              <w:left w:val="single" w:color="000000" w:sz="8"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440" w:type="dxa"/>
            <w:vMerge w:val="continue"/>
            <w:tcBorders>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440" w:type="dxa"/>
            <w:vMerge w:val="continue"/>
            <w:tcBorders>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2376"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418"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417"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1155"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4</w:t>
            </w:r>
          </w:p>
        </w:tc>
        <w:tc>
          <w:tcPr>
            <w:tcW w:w="1737"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w:t>
            </w: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w:t>
            </w: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7</w:t>
            </w:r>
          </w:p>
        </w:tc>
      </w:tr>
      <w:tr>
        <w:tblPrEx>
          <w:tblCellMar>
            <w:top w:w="0" w:type="dxa"/>
            <w:left w:w="108" w:type="dxa"/>
            <w:bottom w:w="0" w:type="dxa"/>
            <w:right w:w="108" w:type="dxa"/>
          </w:tblCellMar>
        </w:tblPrEx>
        <w:trPr>
          <w:trHeight w:val="171" w:hRule="atLeast"/>
        </w:trPr>
        <w:tc>
          <w:tcPr>
            <w:tcW w:w="440" w:type="dxa"/>
            <w:vMerge w:val="continue"/>
            <w:tcBorders>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440" w:type="dxa"/>
            <w:vMerge w:val="continue"/>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440" w:type="dxa"/>
            <w:vMerge w:val="continue"/>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2376"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418"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15,625,358.72</w:t>
            </w:r>
          </w:p>
        </w:tc>
        <w:tc>
          <w:tcPr>
            <w:tcW w:w="1417"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1,059,726.72</w:t>
            </w:r>
          </w:p>
        </w:tc>
        <w:tc>
          <w:tcPr>
            <w:tcW w:w="1155" w:type="dxa"/>
            <w:tcBorders>
              <w:top w:val="nil"/>
              <w:left w:val="nil"/>
              <w:bottom w:val="single" w:color="000000" w:sz="4" w:space="0"/>
              <w:right w:val="single" w:color="000000" w:sz="4" w:space="0"/>
            </w:tcBorders>
            <w:shd w:val="clear" w:color="auto" w:fill="auto"/>
            <w:vAlign w:val="center"/>
          </w:tcPr>
          <w:p>
            <w:pPr>
              <w:widowControl/>
              <w:rPr>
                <w:rFonts w:asciiTheme="majorEastAsia" w:hAnsiTheme="majorEastAsia" w:eastAsiaTheme="majorEastAsia" w:cstheme="majorEastAsia"/>
                <w:color w:val="000000"/>
                <w:kern w:val="0"/>
                <w:sz w:val="18"/>
                <w:szCs w:val="18"/>
              </w:rPr>
            </w:pP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737"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14,565,632.00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201</w:t>
            </w:r>
          </w:p>
        </w:tc>
        <w:tc>
          <w:tcPr>
            <w:tcW w:w="237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一般公共服务支出</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14,615,632.00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50,000.00</w:t>
            </w:r>
          </w:p>
        </w:tc>
        <w:tc>
          <w:tcPr>
            <w:tcW w:w="11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rPr>
              <w:t>14,565,632.00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20103　</w:t>
            </w:r>
          </w:p>
        </w:tc>
        <w:tc>
          <w:tcPr>
            <w:tcW w:w="237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政府办公厅(室)及相关机构事务</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Theme="majorEastAsia" w:hAnsiTheme="majorEastAsia" w:eastAsiaTheme="majorEastAsia" w:cstheme="majorEastAsia"/>
                <w:color w:val="000000"/>
                <w:kern w:val="0"/>
                <w:sz w:val="18"/>
                <w:szCs w:val="18"/>
              </w:rPr>
              <w:t>14,565,632.00</w:t>
            </w:r>
            <w:r>
              <w:rPr>
                <w:rFonts w:hint="eastAsia" w:ascii="宋体" w:hAnsi="宋体" w:cs="Arial"/>
                <w:color w:val="000000"/>
                <w:kern w:val="0"/>
                <w:sz w:val="18"/>
                <w:szCs w:val="18"/>
              </w:rPr>
              <w:t>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1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rPr>
              <w:t>14,565,632.00</w:t>
            </w: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2010399</w:t>
            </w:r>
          </w:p>
        </w:tc>
        <w:tc>
          <w:tcPr>
            <w:tcW w:w="237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其他政府办公厅(室)及相关机构事务支出</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Theme="majorEastAsia" w:hAnsiTheme="majorEastAsia" w:eastAsiaTheme="majorEastAsia" w:cstheme="majorEastAsia"/>
                <w:color w:val="000000"/>
                <w:kern w:val="0"/>
                <w:sz w:val="18"/>
                <w:szCs w:val="18"/>
              </w:rPr>
              <w:t>14,565,632.00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1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Theme="majorEastAsia" w:hAnsiTheme="majorEastAsia" w:eastAsiaTheme="majorEastAsia" w:cstheme="majorEastAsia"/>
                <w:color w:val="000000"/>
                <w:kern w:val="0"/>
                <w:sz w:val="18"/>
                <w:szCs w:val="18"/>
              </w:rPr>
              <w:t>14,565,632.00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20199</w:t>
            </w:r>
          </w:p>
        </w:tc>
        <w:tc>
          <w:tcPr>
            <w:tcW w:w="237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其他一般公共服务支出</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50,000.00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50,000.00</w:t>
            </w:r>
          </w:p>
        </w:tc>
        <w:tc>
          <w:tcPr>
            <w:tcW w:w="11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2019999</w:t>
            </w:r>
          </w:p>
        </w:tc>
        <w:tc>
          <w:tcPr>
            <w:tcW w:w="237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其他一般公共服务支出</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50,000.00</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50,000.00</w:t>
            </w:r>
          </w:p>
        </w:tc>
        <w:tc>
          <w:tcPr>
            <w:tcW w:w="11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208</w:t>
            </w:r>
          </w:p>
        </w:tc>
        <w:tc>
          <w:tcPr>
            <w:tcW w:w="237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社会保障和就业支出</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157,600.39</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157,600.39</w:t>
            </w:r>
          </w:p>
        </w:tc>
        <w:tc>
          <w:tcPr>
            <w:tcW w:w="11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20805</w:t>
            </w:r>
          </w:p>
        </w:tc>
        <w:tc>
          <w:tcPr>
            <w:tcW w:w="237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行政事业单位养老支出</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157,600.39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157,600.39　</w:t>
            </w:r>
          </w:p>
        </w:tc>
        <w:tc>
          <w:tcPr>
            <w:tcW w:w="11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2080505</w:t>
            </w:r>
          </w:p>
        </w:tc>
        <w:tc>
          <w:tcPr>
            <w:tcW w:w="237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机关事业单位基本养老保险缴费支出</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90,531.6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90,531.6　</w:t>
            </w:r>
          </w:p>
        </w:tc>
        <w:tc>
          <w:tcPr>
            <w:tcW w:w="11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2080506</w:t>
            </w:r>
          </w:p>
        </w:tc>
        <w:tc>
          <w:tcPr>
            <w:tcW w:w="237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机关事业单位职业年金缴费支出</w:t>
            </w:r>
          </w:p>
        </w:tc>
        <w:tc>
          <w:tcPr>
            <w:tcW w:w="141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67,069.23　</w:t>
            </w:r>
          </w:p>
        </w:tc>
        <w:tc>
          <w:tcPr>
            <w:tcW w:w="14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67,069.23　</w:t>
            </w:r>
          </w:p>
        </w:tc>
        <w:tc>
          <w:tcPr>
            <w:tcW w:w="11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360"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18"/>
                <w:szCs w:val="18"/>
              </w:rPr>
            </w:pPr>
            <w:r>
              <w:rPr>
                <w:rFonts w:hint="eastAsia" w:ascii="宋体" w:hAnsi="宋体" w:cs="Arial"/>
                <w:color w:val="000000"/>
                <w:kern w:val="0"/>
                <w:sz w:val="18"/>
                <w:szCs w:val="18"/>
              </w:rPr>
              <w:t>210</w:t>
            </w:r>
          </w:p>
        </w:tc>
        <w:tc>
          <w:tcPr>
            <w:tcW w:w="237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18"/>
                <w:szCs w:val="18"/>
              </w:rPr>
            </w:pPr>
            <w:r>
              <w:rPr>
                <w:rFonts w:hint="eastAsia" w:ascii="宋体" w:hAnsi="宋体" w:cs="Arial"/>
                <w:color w:val="000000"/>
                <w:kern w:val="0"/>
                <w:sz w:val="18"/>
                <w:szCs w:val="18"/>
              </w:rPr>
              <w:t>卫生健康支出</w:t>
            </w:r>
          </w:p>
        </w:tc>
        <w:tc>
          <w:tcPr>
            <w:tcW w:w="1418"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rPr>
              <w:t>33,752.49</w:t>
            </w:r>
          </w:p>
        </w:tc>
        <w:tc>
          <w:tcPr>
            <w:tcW w:w="1417"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rPr>
              <w:t>33,752.49</w:t>
            </w:r>
          </w:p>
        </w:tc>
        <w:tc>
          <w:tcPr>
            <w:tcW w:w="1155"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360" w:type="dxa"/>
            <w:gridSpan w:val="2"/>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737"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689"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401" w:type="dxa"/>
            <w:tcBorders>
              <w:top w:val="nil"/>
              <w:left w:val="nil"/>
              <w:bottom w:val="single" w:color="000000" w:sz="8" w:space="0"/>
              <w:right w:val="single" w:color="000000" w:sz="8" w:space="0"/>
            </w:tcBorders>
            <w:shd w:val="clear" w:color="auto" w:fill="auto"/>
            <w:vAlign w:val="center"/>
          </w:tcPr>
          <w:p>
            <w:pPr>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18"/>
                <w:szCs w:val="18"/>
              </w:rPr>
            </w:pPr>
            <w:r>
              <w:rPr>
                <w:rFonts w:hint="eastAsia" w:ascii="宋体" w:hAnsi="宋体" w:cs="Arial"/>
                <w:color w:val="000000"/>
                <w:kern w:val="0"/>
                <w:sz w:val="18"/>
                <w:szCs w:val="18"/>
              </w:rPr>
              <w:t>21011</w:t>
            </w:r>
          </w:p>
        </w:tc>
        <w:tc>
          <w:tcPr>
            <w:tcW w:w="237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18"/>
                <w:szCs w:val="18"/>
              </w:rPr>
            </w:pPr>
            <w:r>
              <w:rPr>
                <w:rFonts w:hint="eastAsia" w:ascii="宋体" w:hAnsi="宋体" w:cs="Arial"/>
                <w:color w:val="000000"/>
                <w:kern w:val="0"/>
                <w:sz w:val="18"/>
                <w:szCs w:val="18"/>
              </w:rPr>
              <w:t>行政事业单位医疗</w:t>
            </w:r>
          </w:p>
        </w:tc>
        <w:tc>
          <w:tcPr>
            <w:tcW w:w="1418"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rPr>
              <w:t>33,752.49</w:t>
            </w:r>
          </w:p>
        </w:tc>
        <w:tc>
          <w:tcPr>
            <w:tcW w:w="1417"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rPr>
              <w:t>33,752.49</w:t>
            </w:r>
          </w:p>
        </w:tc>
        <w:tc>
          <w:tcPr>
            <w:tcW w:w="1155"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360" w:type="dxa"/>
            <w:gridSpan w:val="2"/>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737"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689"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401" w:type="dxa"/>
            <w:tcBorders>
              <w:top w:val="nil"/>
              <w:left w:val="nil"/>
              <w:bottom w:val="single" w:color="000000" w:sz="8" w:space="0"/>
              <w:right w:val="single" w:color="000000" w:sz="8" w:space="0"/>
            </w:tcBorders>
            <w:shd w:val="clear" w:color="auto" w:fill="auto"/>
            <w:vAlign w:val="center"/>
          </w:tcPr>
          <w:p>
            <w:pPr>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18"/>
                <w:szCs w:val="18"/>
              </w:rPr>
            </w:pPr>
            <w:r>
              <w:rPr>
                <w:rFonts w:hint="eastAsia" w:ascii="宋体" w:hAnsi="宋体" w:cs="Arial"/>
                <w:color w:val="000000"/>
                <w:kern w:val="0"/>
                <w:sz w:val="18"/>
                <w:szCs w:val="18"/>
              </w:rPr>
              <w:t>2101103</w:t>
            </w:r>
          </w:p>
        </w:tc>
        <w:tc>
          <w:tcPr>
            <w:tcW w:w="237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18"/>
                <w:szCs w:val="18"/>
              </w:rPr>
            </w:pPr>
            <w:r>
              <w:rPr>
                <w:rFonts w:hint="eastAsia" w:ascii="宋体" w:hAnsi="宋体" w:cs="Arial"/>
                <w:color w:val="000000"/>
                <w:kern w:val="0"/>
                <w:sz w:val="18"/>
                <w:szCs w:val="18"/>
              </w:rPr>
              <w:t>公务员医疗补助</w:t>
            </w:r>
          </w:p>
        </w:tc>
        <w:tc>
          <w:tcPr>
            <w:tcW w:w="1418"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rPr>
              <w:t>4,021.53</w:t>
            </w:r>
          </w:p>
        </w:tc>
        <w:tc>
          <w:tcPr>
            <w:tcW w:w="1417"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rPr>
              <w:t>4,021.53</w:t>
            </w:r>
          </w:p>
        </w:tc>
        <w:tc>
          <w:tcPr>
            <w:tcW w:w="1155"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360" w:type="dxa"/>
            <w:gridSpan w:val="2"/>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737"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689"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401" w:type="dxa"/>
            <w:tcBorders>
              <w:top w:val="nil"/>
              <w:left w:val="nil"/>
              <w:bottom w:val="single" w:color="000000" w:sz="8" w:space="0"/>
              <w:right w:val="single" w:color="000000" w:sz="8" w:space="0"/>
            </w:tcBorders>
            <w:shd w:val="clear" w:color="auto" w:fill="auto"/>
            <w:vAlign w:val="center"/>
          </w:tcPr>
          <w:p>
            <w:pPr>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18"/>
                <w:szCs w:val="18"/>
              </w:rPr>
            </w:pPr>
            <w:r>
              <w:rPr>
                <w:rFonts w:hint="eastAsia" w:ascii="宋体" w:hAnsi="宋体" w:cs="Arial"/>
                <w:color w:val="000000"/>
                <w:kern w:val="0"/>
                <w:sz w:val="18"/>
                <w:szCs w:val="18"/>
              </w:rPr>
              <w:t>2101199</w:t>
            </w:r>
          </w:p>
        </w:tc>
        <w:tc>
          <w:tcPr>
            <w:tcW w:w="237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18"/>
                <w:szCs w:val="18"/>
              </w:rPr>
            </w:pPr>
            <w:r>
              <w:rPr>
                <w:rFonts w:hint="eastAsia" w:ascii="宋体" w:hAnsi="宋体" w:cs="Arial"/>
                <w:color w:val="000000"/>
                <w:kern w:val="0"/>
                <w:sz w:val="18"/>
                <w:szCs w:val="18"/>
              </w:rPr>
              <w:t>其他行政事业单位医疗支出</w:t>
            </w:r>
          </w:p>
        </w:tc>
        <w:tc>
          <w:tcPr>
            <w:tcW w:w="1418"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rPr>
              <w:t>29,730.96</w:t>
            </w:r>
          </w:p>
        </w:tc>
        <w:tc>
          <w:tcPr>
            <w:tcW w:w="1417"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rPr>
              <w:t>29,730.96</w:t>
            </w:r>
          </w:p>
        </w:tc>
        <w:tc>
          <w:tcPr>
            <w:tcW w:w="1155"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360" w:type="dxa"/>
            <w:gridSpan w:val="2"/>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737"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689"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401" w:type="dxa"/>
            <w:tcBorders>
              <w:top w:val="nil"/>
              <w:left w:val="nil"/>
              <w:bottom w:val="single" w:color="000000" w:sz="8" w:space="0"/>
              <w:right w:val="single" w:color="000000" w:sz="8" w:space="0"/>
            </w:tcBorders>
            <w:shd w:val="clear" w:color="auto" w:fill="auto"/>
            <w:vAlign w:val="center"/>
          </w:tcPr>
          <w:p>
            <w:pPr>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18"/>
                <w:szCs w:val="18"/>
              </w:rPr>
            </w:pPr>
            <w:r>
              <w:rPr>
                <w:rFonts w:hint="eastAsia" w:ascii="宋体" w:hAnsi="宋体" w:cs="Arial"/>
                <w:color w:val="000000"/>
                <w:kern w:val="0"/>
                <w:sz w:val="18"/>
                <w:szCs w:val="18"/>
              </w:rPr>
              <w:t>212</w:t>
            </w:r>
          </w:p>
        </w:tc>
        <w:tc>
          <w:tcPr>
            <w:tcW w:w="237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18"/>
                <w:szCs w:val="18"/>
              </w:rPr>
            </w:pPr>
            <w:r>
              <w:rPr>
                <w:rFonts w:hint="eastAsia" w:ascii="宋体" w:hAnsi="宋体" w:cs="Arial"/>
                <w:color w:val="000000"/>
                <w:kern w:val="0"/>
                <w:sz w:val="18"/>
                <w:szCs w:val="18"/>
              </w:rPr>
              <w:t>城乡社区支出</w:t>
            </w:r>
          </w:p>
        </w:tc>
        <w:tc>
          <w:tcPr>
            <w:tcW w:w="1418"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rPr>
              <w:t>694,199.62</w:t>
            </w:r>
          </w:p>
        </w:tc>
        <w:tc>
          <w:tcPr>
            <w:tcW w:w="1417"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rPr>
              <w:t>694,199.62</w:t>
            </w:r>
          </w:p>
        </w:tc>
        <w:tc>
          <w:tcPr>
            <w:tcW w:w="1155"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360" w:type="dxa"/>
            <w:gridSpan w:val="2"/>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737"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689"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401" w:type="dxa"/>
            <w:tcBorders>
              <w:top w:val="nil"/>
              <w:left w:val="nil"/>
              <w:bottom w:val="single" w:color="000000" w:sz="8" w:space="0"/>
              <w:right w:val="single" w:color="000000" w:sz="8" w:space="0"/>
            </w:tcBorders>
            <w:shd w:val="clear" w:color="auto" w:fill="auto"/>
            <w:vAlign w:val="center"/>
          </w:tcPr>
          <w:p>
            <w:pPr>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18"/>
                <w:szCs w:val="18"/>
              </w:rPr>
            </w:pPr>
            <w:r>
              <w:rPr>
                <w:rFonts w:hint="eastAsia" w:ascii="宋体" w:hAnsi="宋体" w:cs="Arial"/>
                <w:color w:val="000000"/>
                <w:kern w:val="0"/>
                <w:sz w:val="18"/>
                <w:szCs w:val="18"/>
              </w:rPr>
              <w:t>21201</w:t>
            </w:r>
          </w:p>
        </w:tc>
        <w:tc>
          <w:tcPr>
            <w:tcW w:w="237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18"/>
                <w:szCs w:val="18"/>
              </w:rPr>
            </w:pPr>
            <w:r>
              <w:rPr>
                <w:rFonts w:hint="eastAsia" w:ascii="宋体" w:hAnsi="宋体" w:cs="Arial"/>
                <w:color w:val="000000"/>
                <w:kern w:val="0"/>
                <w:sz w:val="18"/>
                <w:szCs w:val="18"/>
              </w:rPr>
              <w:t>城乡社区管理事务</w:t>
            </w:r>
          </w:p>
        </w:tc>
        <w:tc>
          <w:tcPr>
            <w:tcW w:w="1418"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rPr>
              <w:t>694,199.62</w:t>
            </w:r>
          </w:p>
        </w:tc>
        <w:tc>
          <w:tcPr>
            <w:tcW w:w="1417"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rPr>
              <w:t>694,199.62</w:t>
            </w:r>
          </w:p>
        </w:tc>
        <w:tc>
          <w:tcPr>
            <w:tcW w:w="1155"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360" w:type="dxa"/>
            <w:gridSpan w:val="2"/>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737"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689"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401" w:type="dxa"/>
            <w:tcBorders>
              <w:top w:val="nil"/>
              <w:left w:val="nil"/>
              <w:bottom w:val="single" w:color="000000" w:sz="8" w:space="0"/>
              <w:right w:val="single" w:color="000000" w:sz="8" w:space="0"/>
            </w:tcBorders>
            <w:shd w:val="clear" w:color="auto" w:fill="auto"/>
            <w:vAlign w:val="center"/>
          </w:tcPr>
          <w:p>
            <w:pPr>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18"/>
                <w:szCs w:val="18"/>
              </w:rPr>
            </w:pPr>
            <w:r>
              <w:rPr>
                <w:rFonts w:hint="eastAsia" w:ascii="宋体" w:hAnsi="宋体" w:cs="Arial"/>
                <w:color w:val="000000"/>
                <w:kern w:val="0"/>
                <w:sz w:val="18"/>
                <w:szCs w:val="18"/>
              </w:rPr>
              <w:t>2120101</w:t>
            </w:r>
          </w:p>
        </w:tc>
        <w:tc>
          <w:tcPr>
            <w:tcW w:w="237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18"/>
                <w:szCs w:val="18"/>
              </w:rPr>
            </w:pPr>
            <w:r>
              <w:rPr>
                <w:rFonts w:hint="eastAsia" w:ascii="宋体" w:hAnsi="宋体" w:cs="Arial"/>
                <w:color w:val="000000"/>
                <w:kern w:val="0"/>
                <w:sz w:val="18"/>
                <w:szCs w:val="18"/>
              </w:rPr>
              <w:t>行政运行</w:t>
            </w:r>
          </w:p>
        </w:tc>
        <w:tc>
          <w:tcPr>
            <w:tcW w:w="1418"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rPr>
              <w:t>694,199.62</w:t>
            </w:r>
          </w:p>
        </w:tc>
        <w:tc>
          <w:tcPr>
            <w:tcW w:w="1417"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rPr>
              <w:t>694,199.62</w:t>
            </w:r>
          </w:p>
        </w:tc>
        <w:tc>
          <w:tcPr>
            <w:tcW w:w="1155"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360" w:type="dxa"/>
            <w:gridSpan w:val="2"/>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737"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689"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401" w:type="dxa"/>
            <w:tcBorders>
              <w:top w:val="nil"/>
              <w:left w:val="nil"/>
              <w:bottom w:val="single" w:color="000000" w:sz="8" w:space="0"/>
              <w:right w:val="single" w:color="000000" w:sz="8" w:space="0"/>
            </w:tcBorders>
            <w:shd w:val="clear" w:color="auto" w:fill="auto"/>
            <w:vAlign w:val="center"/>
          </w:tcPr>
          <w:p>
            <w:pPr>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18"/>
                <w:szCs w:val="18"/>
              </w:rPr>
            </w:pPr>
            <w:r>
              <w:rPr>
                <w:rFonts w:hint="eastAsia" w:ascii="宋体" w:hAnsi="宋体" w:cs="Arial"/>
                <w:color w:val="000000"/>
                <w:kern w:val="0"/>
                <w:sz w:val="18"/>
                <w:szCs w:val="18"/>
              </w:rPr>
              <w:t>221</w:t>
            </w:r>
          </w:p>
        </w:tc>
        <w:tc>
          <w:tcPr>
            <w:tcW w:w="237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18"/>
                <w:szCs w:val="18"/>
              </w:rPr>
            </w:pPr>
            <w:r>
              <w:rPr>
                <w:rFonts w:hint="eastAsia" w:ascii="宋体" w:hAnsi="宋体" w:cs="Arial"/>
                <w:color w:val="000000"/>
                <w:kern w:val="0"/>
                <w:sz w:val="18"/>
                <w:szCs w:val="18"/>
              </w:rPr>
              <w:t>住房保障支出</w:t>
            </w:r>
          </w:p>
        </w:tc>
        <w:tc>
          <w:tcPr>
            <w:tcW w:w="1418"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rPr>
              <w:t>124,174.22</w:t>
            </w:r>
          </w:p>
        </w:tc>
        <w:tc>
          <w:tcPr>
            <w:tcW w:w="1417"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rPr>
              <w:t>124,174.22</w:t>
            </w:r>
          </w:p>
        </w:tc>
        <w:tc>
          <w:tcPr>
            <w:tcW w:w="1155"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360" w:type="dxa"/>
            <w:gridSpan w:val="2"/>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737"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689"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401" w:type="dxa"/>
            <w:tcBorders>
              <w:top w:val="nil"/>
              <w:left w:val="nil"/>
              <w:bottom w:val="single" w:color="000000" w:sz="8" w:space="0"/>
              <w:right w:val="single" w:color="000000" w:sz="8" w:space="0"/>
            </w:tcBorders>
            <w:shd w:val="clear" w:color="auto" w:fill="auto"/>
            <w:vAlign w:val="center"/>
          </w:tcPr>
          <w:p>
            <w:pPr>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18"/>
                <w:szCs w:val="18"/>
              </w:rPr>
            </w:pPr>
            <w:r>
              <w:rPr>
                <w:rFonts w:hint="eastAsia" w:ascii="宋体" w:hAnsi="宋体" w:cs="Arial"/>
                <w:color w:val="000000"/>
                <w:kern w:val="0"/>
                <w:sz w:val="18"/>
                <w:szCs w:val="18"/>
              </w:rPr>
              <w:t>22102</w:t>
            </w:r>
          </w:p>
        </w:tc>
        <w:tc>
          <w:tcPr>
            <w:tcW w:w="237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18"/>
                <w:szCs w:val="18"/>
              </w:rPr>
            </w:pPr>
            <w:r>
              <w:rPr>
                <w:rFonts w:hint="eastAsia" w:ascii="宋体" w:hAnsi="宋体" w:cs="Arial"/>
                <w:color w:val="000000"/>
                <w:kern w:val="0"/>
                <w:sz w:val="18"/>
                <w:szCs w:val="18"/>
              </w:rPr>
              <w:t>住房改革支出</w:t>
            </w:r>
          </w:p>
        </w:tc>
        <w:tc>
          <w:tcPr>
            <w:tcW w:w="1418"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rPr>
              <w:t>124,174.22</w:t>
            </w:r>
          </w:p>
        </w:tc>
        <w:tc>
          <w:tcPr>
            <w:tcW w:w="1417"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rPr>
              <w:t>124,174.22</w:t>
            </w:r>
          </w:p>
        </w:tc>
        <w:tc>
          <w:tcPr>
            <w:tcW w:w="1155"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360" w:type="dxa"/>
            <w:gridSpan w:val="2"/>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737"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689"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401" w:type="dxa"/>
            <w:tcBorders>
              <w:top w:val="nil"/>
              <w:left w:val="nil"/>
              <w:bottom w:val="single" w:color="000000" w:sz="8" w:space="0"/>
              <w:right w:val="single" w:color="000000" w:sz="8" w:space="0"/>
            </w:tcBorders>
            <w:shd w:val="clear" w:color="auto" w:fill="auto"/>
            <w:vAlign w:val="center"/>
          </w:tcPr>
          <w:p>
            <w:pPr>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18"/>
                <w:szCs w:val="18"/>
              </w:rPr>
            </w:pPr>
            <w:r>
              <w:rPr>
                <w:rFonts w:hint="eastAsia" w:ascii="宋体" w:hAnsi="宋体" w:cs="Arial"/>
                <w:color w:val="000000"/>
                <w:kern w:val="0"/>
                <w:sz w:val="18"/>
                <w:szCs w:val="18"/>
              </w:rPr>
              <w:t>2210201</w:t>
            </w:r>
          </w:p>
        </w:tc>
        <w:tc>
          <w:tcPr>
            <w:tcW w:w="237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18"/>
                <w:szCs w:val="18"/>
              </w:rPr>
            </w:pPr>
            <w:r>
              <w:rPr>
                <w:rFonts w:hint="eastAsia" w:ascii="宋体" w:hAnsi="宋体" w:cs="Arial"/>
                <w:color w:val="000000"/>
                <w:kern w:val="0"/>
                <w:sz w:val="18"/>
                <w:szCs w:val="18"/>
              </w:rPr>
              <w:t>住房公积金</w:t>
            </w:r>
          </w:p>
        </w:tc>
        <w:tc>
          <w:tcPr>
            <w:tcW w:w="1418"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rPr>
              <w:t>82,657.96</w:t>
            </w:r>
          </w:p>
        </w:tc>
        <w:tc>
          <w:tcPr>
            <w:tcW w:w="1417"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rPr>
              <w:t>82,657.96</w:t>
            </w:r>
          </w:p>
        </w:tc>
        <w:tc>
          <w:tcPr>
            <w:tcW w:w="1155"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360" w:type="dxa"/>
            <w:gridSpan w:val="2"/>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737"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689"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401" w:type="dxa"/>
            <w:tcBorders>
              <w:top w:val="nil"/>
              <w:left w:val="nil"/>
              <w:bottom w:val="single" w:color="000000" w:sz="8" w:space="0"/>
              <w:right w:val="single" w:color="000000" w:sz="8" w:space="0"/>
            </w:tcBorders>
            <w:shd w:val="clear" w:color="auto" w:fill="auto"/>
            <w:vAlign w:val="center"/>
          </w:tcPr>
          <w:p>
            <w:pPr>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jc w:val="left"/>
              <w:rPr>
                <w:rFonts w:ascii="宋体" w:hAnsi="宋体" w:cs="Arial"/>
                <w:color w:val="000000"/>
                <w:kern w:val="0"/>
                <w:sz w:val="18"/>
                <w:szCs w:val="18"/>
              </w:rPr>
            </w:pPr>
            <w:r>
              <w:rPr>
                <w:rFonts w:hint="eastAsia" w:ascii="宋体" w:hAnsi="宋体" w:cs="Arial"/>
                <w:color w:val="000000"/>
                <w:kern w:val="0"/>
                <w:sz w:val="18"/>
                <w:szCs w:val="18"/>
              </w:rPr>
              <w:t>2210203</w:t>
            </w:r>
          </w:p>
        </w:tc>
        <w:tc>
          <w:tcPr>
            <w:tcW w:w="2376" w:type="dxa"/>
            <w:tcBorders>
              <w:top w:val="nil"/>
              <w:left w:val="nil"/>
              <w:bottom w:val="single" w:color="000000" w:sz="8" w:space="0"/>
              <w:right w:val="single" w:color="000000" w:sz="4" w:space="0"/>
            </w:tcBorders>
            <w:shd w:val="clear" w:color="auto" w:fill="auto"/>
            <w:vAlign w:val="center"/>
          </w:tcPr>
          <w:p>
            <w:pPr>
              <w:jc w:val="left"/>
              <w:rPr>
                <w:rFonts w:ascii="宋体" w:hAnsi="宋体" w:cs="Arial"/>
                <w:color w:val="000000"/>
                <w:kern w:val="0"/>
                <w:sz w:val="18"/>
                <w:szCs w:val="18"/>
              </w:rPr>
            </w:pPr>
            <w:r>
              <w:rPr>
                <w:rFonts w:hint="eastAsia" w:ascii="宋体" w:hAnsi="宋体" w:cs="Arial"/>
                <w:color w:val="000000"/>
                <w:kern w:val="0"/>
                <w:sz w:val="18"/>
                <w:szCs w:val="18"/>
              </w:rPr>
              <w:t>购房补贴</w:t>
            </w:r>
          </w:p>
        </w:tc>
        <w:tc>
          <w:tcPr>
            <w:tcW w:w="1418"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rPr>
              <w:t>41,516.26</w:t>
            </w:r>
          </w:p>
        </w:tc>
        <w:tc>
          <w:tcPr>
            <w:tcW w:w="1417"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r>
              <w:rPr>
                <w:rFonts w:hint="eastAsia" w:ascii="宋体" w:hAnsi="宋体" w:cs="Arial"/>
                <w:color w:val="000000"/>
                <w:kern w:val="0"/>
                <w:sz w:val="18"/>
                <w:szCs w:val="18"/>
              </w:rPr>
              <w:t>41,516.26</w:t>
            </w:r>
          </w:p>
        </w:tc>
        <w:tc>
          <w:tcPr>
            <w:tcW w:w="1155"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360" w:type="dxa"/>
            <w:gridSpan w:val="2"/>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737"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689" w:type="dxa"/>
            <w:tcBorders>
              <w:top w:val="nil"/>
              <w:left w:val="nil"/>
              <w:bottom w:val="single" w:color="000000" w:sz="8"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401" w:type="dxa"/>
            <w:tcBorders>
              <w:top w:val="nil"/>
              <w:left w:val="nil"/>
              <w:bottom w:val="single" w:color="000000" w:sz="8" w:space="0"/>
              <w:right w:val="single" w:color="000000" w:sz="8" w:space="0"/>
            </w:tcBorders>
            <w:shd w:val="clear" w:color="auto" w:fill="auto"/>
            <w:vAlign w:val="center"/>
          </w:tcPr>
          <w:p>
            <w:pPr>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435" w:hRule="atLeast"/>
        </w:trPr>
        <w:tc>
          <w:tcPr>
            <w:tcW w:w="14873" w:type="dxa"/>
            <w:gridSpan w:val="12"/>
            <w:tcBorders>
              <w:top w:val="single" w:color="000000" w:sz="8" w:space="0"/>
              <w:left w:val="nil"/>
              <w:bottom w:val="nil"/>
              <w:right w:val="nil"/>
            </w:tcBorders>
            <w:shd w:val="clear" w:color="auto" w:fill="auto"/>
            <w:vAlign w:val="bottom"/>
          </w:tcPr>
          <w:p>
            <w:pPr>
              <w:jc w:val="left"/>
              <w:rPr>
                <w:rFonts w:ascii="宋体" w:hAnsi="宋体" w:cs="Arial"/>
                <w:color w:val="000000"/>
                <w:kern w:val="0"/>
                <w:sz w:val="18"/>
                <w:szCs w:val="18"/>
              </w:rPr>
            </w:pPr>
          </w:p>
          <w:p>
            <w:pPr>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注：本表反映部门本年度取得的各项收入情况，数据取自财决03表</w:t>
            </w:r>
          </w:p>
        </w:tc>
      </w:tr>
    </w:tbl>
    <w:p>
      <w:pPr>
        <w:spacing w:line="580" w:lineRule="exact"/>
        <w:rPr>
          <w:sz w:val="18"/>
          <w:szCs w:val="18"/>
        </w:rPr>
      </w:pPr>
    </w:p>
    <w:p>
      <w:pPr>
        <w:spacing w:line="580" w:lineRule="exact"/>
        <w:rPr>
          <w:sz w:val="18"/>
          <w:szCs w:val="18"/>
        </w:rPr>
      </w:pPr>
    </w:p>
    <w:p>
      <w:pPr>
        <w:spacing w:line="580" w:lineRule="exact"/>
        <w:rPr>
          <w:sz w:val="18"/>
          <w:szCs w:val="18"/>
        </w:rPr>
      </w:pPr>
    </w:p>
    <w:p>
      <w:pPr>
        <w:spacing w:line="580" w:lineRule="exact"/>
        <w:rPr>
          <w:sz w:val="18"/>
          <w:szCs w:val="18"/>
        </w:rPr>
      </w:pPr>
    </w:p>
    <w:p>
      <w:pPr>
        <w:spacing w:line="580" w:lineRule="exact"/>
        <w:rPr>
          <w:sz w:val="18"/>
          <w:szCs w:val="18"/>
        </w:rPr>
      </w:pPr>
    </w:p>
    <w:p>
      <w:pPr>
        <w:spacing w:line="580" w:lineRule="exact"/>
        <w:rPr>
          <w:sz w:val="18"/>
          <w:szCs w:val="18"/>
        </w:rPr>
      </w:pPr>
    </w:p>
    <w:p>
      <w:pPr>
        <w:spacing w:line="580" w:lineRule="exact"/>
        <w:rPr>
          <w:sz w:val="18"/>
          <w:szCs w:val="18"/>
        </w:rPr>
      </w:pPr>
    </w:p>
    <w:p>
      <w:pPr>
        <w:spacing w:line="580" w:lineRule="exact"/>
        <w:rPr>
          <w:sz w:val="18"/>
          <w:szCs w:val="18"/>
        </w:rPr>
      </w:pPr>
    </w:p>
    <w:p>
      <w:pPr>
        <w:spacing w:line="580" w:lineRule="exact"/>
        <w:rPr>
          <w:sz w:val="18"/>
          <w:szCs w:val="18"/>
        </w:rPr>
      </w:pPr>
    </w:p>
    <w:p>
      <w:pPr>
        <w:spacing w:line="580" w:lineRule="exact"/>
        <w:rPr>
          <w:sz w:val="18"/>
          <w:szCs w:val="18"/>
        </w:rPr>
      </w:pPr>
    </w:p>
    <w:p>
      <w:pPr>
        <w:spacing w:line="580" w:lineRule="exact"/>
        <w:rPr>
          <w:sz w:val="18"/>
          <w:szCs w:val="18"/>
        </w:rPr>
      </w:pPr>
    </w:p>
    <w:p>
      <w:pPr>
        <w:spacing w:line="580" w:lineRule="exact"/>
        <w:rPr>
          <w:sz w:val="18"/>
          <w:szCs w:val="18"/>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jc w:val="center"/>
        <w:rPr>
          <w:b/>
          <w:sz w:val="32"/>
        </w:rPr>
      </w:pPr>
    </w:p>
    <w:p>
      <w:pPr>
        <w:spacing w:line="580" w:lineRule="exact"/>
        <w:jc w:val="center"/>
        <w:rPr>
          <w:b/>
          <w:sz w:val="32"/>
        </w:rPr>
      </w:pPr>
      <w:r>
        <w:rPr>
          <w:rFonts w:hint="eastAsia"/>
          <w:b/>
          <w:sz w:val="32"/>
        </w:rPr>
        <w:t>支出预算表</w:t>
      </w:r>
    </w:p>
    <w:p>
      <w:pPr>
        <w:framePr w:hSpace="180" w:wrap="around" w:vAnchor="text" w:hAnchor="page" w:x="1358" w:y="621"/>
        <w:suppressOverlap/>
        <w:rPr>
          <w:sz w:val="22"/>
        </w:rPr>
      </w:pPr>
      <w:r>
        <w:rPr>
          <w:rFonts w:hint="eastAsia"/>
          <w:sz w:val="22"/>
        </w:rPr>
        <w:t xml:space="preserve">公开部门:宁夏回族自治区固原市原州区土地房屋征收办公室        2022年度                                             金额单位:元 </w:t>
      </w:r>
    </w:p>
    <w:p>
      <w:pPr>
        <w:spacing w:line="580" w:lineRule="exact"/>
        <w:jc w:val="center"/>
        <w:rPr>
          <w:b/>
          <w:sz w:val="32"/>
        </w:rPr>
      </w:pPr>
      <w:r>
        <w:rPr>
          <w:rFonts w:hint="eastAsia"/>
          <w:sz w:val="22"/>
        </w:rPr>
        <w:t xml:space="preserve">                                                                                                              财决03表:</w:t>
      </w:r>
    </w:p>
    <w:tbl>
      <w:tblPr>
        <w:tblStyle w:val="6"/>
        <w:tblpPr w:leftFromText="180" w:rightFromText="180" w:vertAnchor="text" w:horzAnchor="page" w:tblpX="1502" w:tblpY="566"/>
        <w:tblOverlap w:val="never"/>
        <w:tblW w:w="12911" w:type="dxa"/>
        <w:tblInd w:w="0" w:type="dxa"/>
        <w:tblLayout w:type="autofit"/>
        <w:tblCellMar>
          <w:top w:w="0" w:type="dxa"/>
          <w:left w:w="108" w:type="dxa"/>
          <w:bottom w:w="0" w:type="dxa"/>
          <w:right w:w="108" w:type="dxa"/>
        </w:tblCellMar>
      </w:tblPr>
      <w:tblGrid>
        <w:gridCol w:w="494"/>
        <w:gridCol w:w="492"/>
        <w:gridCol w:w="779"/>
        <w:gridCol w:w="4168"/>
        <w:gridCol w:w="1902"/>
        <w:gridCol w:w="1316"/>
        <w:gridCol w:w="1646"/>
        <w:gridCol w:w="688"/>
        <w:gridCol w:w="587"/>
        <w:gridCol w:w="839"/>
      </w:tblGrid>
      <w:tr>
        <w:tblPrEx>
          <w:tblCellMar>
            <w:top w:w="0" w:type="dxa"/>
            <w:left w:w="108" w:type="dxa"/>
            <w:bottom w:w="0" w:type="dxa"/>
            <w:right w:w="108" w:type="dxa"/>
          </w:tblCellMar>
        </w:tblPrEx>
        <w:trPr>
          <w:trHeight w:val="308" w:hRule="atLeast"/>
        </w:trPr>
        <w:tc>
          <w:tcPr>
            <w:tcW w:w="5837"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xml:space="preserve">项目                   </w:t>
            </w:r>
          </w:p>
        </w:tc>
        <w:tc>
          <w:tcPr>
            <w:tcW w:w="190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21" w:hRule="atLeast"/>
        </w:trPr>
        <w:tc>
          <w:tcPr>
            <w:tcW w:w="986"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851"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986"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4851"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9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986"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4851"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9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0" w:type="auto"/>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76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08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0" w:type="auto"/>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76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08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41,316,090.04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987,679.47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40,328,410.57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一般公共服务支出</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6,934,236.57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6,934,236.57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2103</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政府办公厅(室)及相关机构事务　</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6,884,236.57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6,884,236.57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2010399</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其他政府办公厅(室)及相关机构事务支出</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6,884,236.57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6,884,236.57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20199</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其他一般公共服务支出　</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50,000.00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50,000.00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社会保障和就业支出　</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137,628.52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137,628.52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行政事业单位养老支出</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137,628.52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137,628.52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2080505</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机关事业单位基本养老保险缴费支出</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90,531.16</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90,531.16</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2080506</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机关事业单位职业年金缴费支出</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47,097.36</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47,097.36</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卫生健康支出</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31,788.69</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31,788.69</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21011 </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31,788.69</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31,788.69</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29"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2101103</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公务员医疗补助</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4,021.53</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4,021.53</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2101199</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其他行政事业单位医疗支出</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27,767.16</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27,767.16</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城乡社区支出</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34,088,262.04</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694,088.04</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33,394,174.00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21201</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城乡社区管理事务</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694,088.04</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694,088.04</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2120101</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694,088.04</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694,088.04</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21208</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国有土地使用权出让收入安排的支出</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24,345,391.00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24,345,391.00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2120801</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征地和拆迁补偿支出</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15,000,000.00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15,000,000.00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2120899</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其他国有土地使用权出让收入安排的支出</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9,345,391.00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9,345,391.00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21299</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其他城乡社区支出</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9,048,783.00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9,048,783.00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2129999</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其他城乡社区支出</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9,048,783.00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9,048,783.00</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124,174.22</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124,174.22</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124,174.22</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124,174.22</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82,657.96</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82,657.96</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98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2210203</w:t>
            </w:r>
          </w:p>
        </w:tc>
        <w:tc>
          <w:tcPr>
            <w:tcW w:w="4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购房补贴</w:t>
            </w:r>
          </w:p>
        </w:tc>
        <w:tc>
          <w:tcPr>
            <w:tcW w:w="19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41,516.26</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41,516.26</w:t>
            </w: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c>
          <w:tcPr>
            <w:tcW w:w="0" w:type="auto"/>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510" w:hRule="atLeast"/>
        </w:trPr>
        <w:tc>
          <w:tcPr>
            <w:tcW w:w="0" w:type="auto"/>
            <w:gridSpan w:val="10"/>
            <w:tcBorders>
              <w:top w:val="single" w:color="000000" w:sz="4" w:space="0"/>
              <w:tl2br w:val="nil"/>
              <w:tr2bl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r>
        <w:tblPrEx>
          <w:tblCellMar>
            <w:top w:w="0" w:type="dxa"/>
            <w:left w:w="108" w:type="dxa"/>
            <w:bottom w:w="0" w:type="dxa"/>
            <w:right w:w="108" w:type="dxa"/>
          </w:tblCellMar>
        </w:tblPrEx>
        <w:trPr>
          <w:trHeight w:val="510" w:hRule="atLeast"/>
        </w:trPr>
        <w:tc>
          <w:tcPr>
            <w:tcW w:w="0" w:type="auto"/>
            <w:gridSpan w:val="10"/>
            <w:tcBorders>
              <w:tl2br w:val="nil"/>
              <w:tr2bl w:val="nil"/>
            </w:tcBorders>
            <w:shd w:val="clear" w:color="auto" w:fill="auto"/>
            <w:vAlign w:val="bottom"/>
          </w:tcPr>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tc>
      </w:tr>
    </w:tbl>
    <w:p>
      <w:pPr>
        <w:spacing w:line="580" w:lineRule="exact"/>
      </w:pPr>
    </w:p>
    <w:tbl>
      <w:tblPr>
        <w:tblStyle w:val="6"/>
        <w:tblW w:w="15741" w:type="dxa"/>
        <w:jc w:val="center"/>
        <w:tblLayout w:type="fixed"/>
        <w:tblCellMar>
          <w:top w:w="0" w:type="dxa"/>
          <w:left w:w="108" w:type="dxa"/>
          <w:bottom w:w="0" w:type="dxa"/>
          <w:right w:w="108" w:type="dxa"/>
        </w:tblCellMar>
      </w:tblPr>
      <w:tblGrid>
        <w:gridCol w:w="2853"/>
        <w:gridCol w:w="435"/>
        <w:gridCol w:w="1420"/>
        <w:gridCol w:w="2775"/>
        <w:gridCol w:w="610"/>
        <w:gridCol w:w="710"/>
        <w:gridCol w:w="2230"/>
        <w:gridCol w:w="2230"/>
        <w:gridCol w:w="2478"/>
      </w:tblGrid>
      <w:tr>
        <w:tblPrEx>
          <w:tblCellMar>
            <w:top w:w="0" w:type="dxa"/>
            <w:left w:w="108" w:type="dxa"/>
            <w:bottom w:w="0" w:type="dxa"/>
            <w:right w:w="108" w:type="dxa"/>
          </w:tblCellMar>
        </w:tblPrEx>
        <w:trPr>
          <w:trHeight w:val="582" w:hRule="atLeast"/>
          <w:jc w:val="center"/>
        </w:trPr>
        <w:tc>
          <w:tcPr>
            <w:tcW w:w="15741" w:type="dxa"/>
            <w:gridSpan w:val="9"/>
            <w:tcBorders>
              <w:top w:val="nil"/>
              <w:left w:val="nil"/>
              <w:bottom w:val="nil"/>
              <w:right w:val="nil"/>
            </w:tcBorders>
            <w:shd w:val="clear" w:color="auto" w:fill="auto"/>
            <w:vAlign w:val="bottom"/>
          </w:tcPr>
          <w:p>
            <w:pPr>
              <w:widowControl/>
              <w:ind w:firstLine="4863" w:firstLineChars="1351"/>
              <w:rPr>
                <w:rFonts w:ascii="宋体" w:hAnsi="宋体" w:cs="Arial"/>
                <w:b/>
                <w:bCs/>
                <w:color w:val="000000"/>
                <w:kern w:val="0"/>
                <w:sz w:val="36"/>
                <w:szCs w:val="36"/>
              </w:rPr>
            </w:pPr>
          </w:p>
          <w:p>
            <w:pPr>
              <w:widowControl/>
              <w:ind w:firstLine="4863" w:firstLineChars="1351"/>
              <w:rPr>
                <w:rFonts w:ascii="宋体" w:hAnsi="宋体" w:cs="Arial"/>
                <w:b/>
                <w:bCs/>
                <w:color w:val="000000"/>
                <w:kern w:val="0"/>
                <w:sz w:val="36"/>
                <w:szCs w:val="36"/>
              </w:rPr>
            </w:pPr>
          </w:p>
          <w:p>
            <w:pPr>
              <w:widowControl/>
              <w:ind w:firstLine="4863" w:firstLineChars="1351"/>
              <w:rPr>
                <w:rFonts w:ascii="宋体" w:hAnsi="宋体" w:cs="Arial"/>
                <w:b/>
                <w:bCs/>
                <w:color w:val="000000"/>
                <w:kern w:val="0"/>
                <w:sz w:val="36"/>
                <w:szCs w:val="36"/>
              </w:rPr>
            </w:pPr>
          </w:p>
          <w:p>
            <w:pPr>
              <w:widowControl/>
              <w:ind w:firstLine="4863" w:firstLineChars="1351"/>
              <w:rPr>
                <w:rFonts w:ascii="宋体" w:hAnsi="宋体" w:cs="Arial"/>
                <w:b/>
                <w:bCs/>
                <w:color w:val="000000"/>
                <w:kern w:val="0"/>
                <w:sz w:val="36"/>
                <w:szCs w:val="36"/>
              </w:rPr>
            </w:pPr>
          </w:p>
          <w:p>
            <w:pPr>
              <w:widowControl/>
              <w:ind w:firstLine="4863" w:firstLineChars="1351"/>
              <w:rPr>
                <w:rFonts w:ascii="宋体" w:hAnsi="宋体" w:cs="Arial"/>
                <w:b/>
                <w:bCs/>
                <w:color w:val="000000"/>
                <w:kern w:val="0"/>
                <w:sz w:val="36"/>
                <w:szCs w:val="36"/>
              </w:rPr>
            </w:pPr>
          </w:p>
          <w:p>
            <w:pPr>
              <w:widowControl/>
              <w:ind w:firstLine="4863" w:firstLineChars="1351"/>
              <w:rPr>
                <w:rFonts w:ascii="宋体" w:hAnsi="宋体" w:cs="Arial"/>
                <w:b/>
                <w:bCs/>
                <w:color w:val="000000"/>
                <w:kern w:val="0"/>
                <w:sz w:val="36"/>
                <w:szCs w:val="36"/>
              </w:rPr>
            </w:pPr>
          </w:p>
          <w:p>
            <w:pPr>
              <w:widowControl/>
              <w:ind w:firstLine="4863" w:firstLineChars="1351"/>
              <w:rPr>
                <w:rFonts w:ascii="宋体" w:hAnsi="宋体" w:cs="Arial"/>
                <w:b/>
                <w:bCs/>
                <w:color w:val="000000"/>
                <w:kern w:val="0"/>
                <w:sz w:val="36"/>
                <w:szCs w:val="36"/>
              </w:rPr>
            </w:pPr>
          </w:p>
          <w:p>
            <w:pPr>
              <w:widowControl/>
              <w:ind w:firstLine="4863" w:firstLineChars="1351"/>
              <w:rPr>
                <w:rFonts w:ascii="宋体" w:hAnsi="宋体" w:cs="Arial"/>
                <w:b/>
                <w:bCs/>
                <w:color w:val="000000"/>
                <w:kern w:val="0"/>
                <w:sz w:val="36"/>
                <w:szCs w:val="36"/>
              </w:rPr>
            </w:pPr>
          </w:p>
          <w:p>
            <w:pPr>
              <w:widowControl/>
              <w:ind w:firstLine="4863" w:firstLineChars="1351"/>
              <w:rPr>
                <w:rFonts w:ascii="宋体" w:hAnsi="宋体" w:cs="Arial"/>
                <w:b/>
                <w:bCs/>
                <w:color w:val="000000"/>
                <w:kern w:val="0"/>
                <w:sz w:val="36"/>
                <w:szCs w:val="36"/>
              </w:rPr>
            </w:pPr>
          </w:p>
          <w:p>
            <w:pPr>
              <w:widowControl/>
              <w:ind w:firstLine="4863" w:firstLineChars="1351"/>
              <w:rPr>
                <w:rFonts w:ascii="宋体" w:hAnsi="宋体" w:cs="Arial"/>
                <w:b/>
                <w:bCs/>
                <w:color w:val="000000"/>
                <w:kern w:val="0"/>
                <w:sz w:val="36"/>
                <w:szCs w:val="36"/>
              </w:rPr>
            </w:pPr>
          </w:p>
          <w:p>
            <w:pPr>
              <w:widowControl/>
              <w:ind w:firstLine="4863" w:firstLineChars="1351"/>
              <w:rPr>
                <w:rFonts w:ascii="宋体" w:hAnsi="宋体" w:cs="Arial"/>
                <w:b/>
                <w:bCs/>
                <w:color w:val="000000"/>
                <w:kern w:val="0"/>
                <w:sz w:val="36"/>
                <w:szCs w:val="36"/>
              </w:rPr>
            </w:pPr>
            <w:r>
              <w:rPr>
                <w:rFonts w:hint="eastAsia" w:ascii="宋体" w:hAnsi="宋体" w:cs="Arial"/>
                <w:b/>
                <w:bCs/>
                <w:color w:val="000000"/>
                <w:kern w:val="0"/>
                <w:sz w:val="36"/>
                <w:szCs w:val="36"/>
              </w:rPr>
              <w:t>财政拨款收入支出决算总表</w:t>
            </w:r>
          </w:p>
          <w:p>
            <w:pPr>
              <w:rPr>
                <w:sz w:val="22"/>
              </w:rPr>
            </w:pPr>
            <w:r>
              <w:rPr>
                <w:rFonts w:hint="eastAsia"/>
                <w:sz w:val="22"/>
              </w:rPr>
              <w:t xml:space="preserve">                                                                                                                                   财决04表                            公开部门:宁夏回族自治区固原市原州区土地房屋征收办公室                2022年度                                                    金额单位: 元</w:t>
            </w:r>
          </w:p>
        </w:tc>
      </w:tr>
      <w:tr>
        <w:tblPrEx>
          <w:tblCellMar>
            <w:top w:w="0" w:type="dxa"/>
            <w:left w:w="108" w:type="dxa"/>
            <w:bottom w:w="0" w:type="dxa"/>
            <w:right w:w="108" w:type="dxa"/>
          </w:tblCellMar>
        </w:tblPrEx>
        <w:trPr>
          <w:trHeight w:val="272" w:hRule="exact"/>
          <w:jc w:val="center"/>
        </w:trPr>
        <w:tc>
          <w:tcPr>
            <w:tcW w:w="4708"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1033" w:type="dxa"/>
            <w:gridSpan w:val="6"/>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285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43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42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7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1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7648"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85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3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42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77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1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23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3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24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4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7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7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23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3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4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420" w:type="dxa"/>
            <w:tcBorders>
              <w:top w:val="nil"/>
              <w:left w:val="nil"/>
              <w:bottom w:val="single" w:color="000000" w:sz="4" w:space="0"/>
              <w:right w:val="single" w:color="000000" w:sz="4" w:space="0"/>
            </w:tcBorders>
            <w:shd w:val="clear" w:color="auto" w:fill="auto"/>
            <w:vAlign w:val="center"/>
          </w:tcPr>
          <w:p>
            <w:pPr>
              <w:widowControl/>
              <w:ind w:right="90"/>
              <w:jc w:val="right"/>
              <w:rPr>
                <w:rFonts w:ascii="宋体" w:hAnsi="宋体" w:cs="Arial"/>
                <w:color w:val="000000"/>
                <w:kern w:val="0"/>
                <w:sz w:val="18"/>
                <w:szCs w:val="18"/>
              </w:rPr>
            </w:pPr>
            <w:r>
              <w:rPr>
                <w:rFonts w:hint="eastAsia" w:ascii="宋体" w:hAnsi="宋体" w:cs="Arial"/>
                <w:color w:val="000000"/>
                <w:kern w:val="0"/>
                <w:sz w:val="18"/>
                <w:szCs w:val="18"/>
              </w:rPr>
              <w:t>1,059,726.72....　.</w:t>
            </w: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50,000.00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137,628.52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31,788.69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9,742,871.04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24,345,391.00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42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71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十四、资源勘探工业信息等支出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42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7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61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71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124,174.22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二十一、国有资本经营预算支出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二十三、债务还本支出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二十三、债务付息支出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二十六、抗疫特别国债安排的支出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1,059,726.72　</w:t>
            </w:r>
          </w:p>
        </w:tc>
        <w:tc>
          <w:tcPr>
            <w:tcW w:w="27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59</w:t>
            </w:r>
          </w:p>
          <w:p>
            <w:pPr>
              <w:widowControl/>
              <w:jc w:val="center"/>
              <w:rPr>
                <w:rFonts w:ascii="宋体" w:hAnsi="宋体" w:cs="Arial"/>
                <w:color w:val="000000"/>
                <w:kern w:val="0"/>
                <w:sz w:val="18"/>
                <w:szCs w:val="18"/>
              </w:rPr>
            </w:pP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10,086,462.47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24,345,391.00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33,394,174.00　</w:t>
            </w: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60</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22,047.25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4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9,048,783.00　</w:t>
            </w:r>
          </w:p>
        </w:tc>
        <w:tc>
          <w:tcPr>
            <w:tcW w:w="27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61</w:t>
            </w:r>
          </w:p>
        </w:tc>
        <w:tc>
          <w:tcPr>
            <w:tcW w:w="7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42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24,345,391.00　</w:t>
            </w:r>
          </w:p>
        </w:tc>
        <w:tc>
          <w:tcPr>
            <w:tcW w:w="27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62</w:t>
            </w:r>
          </w:p>
        </w:tc>
        <w:tc>
          <w:tcPr>
            <w:tcW w:w="71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42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7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63</w:t>
            </w:r>
          </w:p>
        </w:tc>
        <w:tc>
          <w:tcPr>
            <w:tcW w:w="71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3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3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47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34,453,900.72　</w:t>
            </w:r>
          </w:p>
        </w:tc>
        <w:tc>
          <w:tcPr>
            <w:tcW w:w="27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64</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10,108,509.72　</w:t>
            </w:r>
          </w:p>
        </w:tc>
        <w:tc>
          <w:tcPr>
            <w:tcW w:w="22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24,345,391.00　</w:t>
            </w:r>
          </w:p>
        </w:tc>
        <w:tc>
          <w:tcPr>
            <w:tcW w:w="24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15741" w:type="dxa"/>
            <w:gridSpan w:val="9"/>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注：本表反映部门本年度一般公共预算财政拨款、政府性基金预算财政拨款和国有资本经营预算财政拨款的总收支和年末结余结转情况，数据取自财决01-1表</w:t>
            </w:r>
          </w:p>
        </w:tc>
      </w:tr>
    </w:tbl>
    <w:p>
      <w:pPr>
        <w:pStyle w:val="5"/>
        <w:jc w:val="both"/>
        <w:rPr>
          <w:rFonts w:hint="eastAsia"/>
        </w:rPr>
      </w:pPr>
    </w:p>
    <w:tbl>
      <w:tblPr>
        <w:tblStyle w:val="6"/>
        <w:tblW w:w="11346" w:type="dxa"/>
        <w:jc w:val="center"/>
        <w:tblLayout w:type="fixed"/>
        <w:tblCellMar>
          <w:top w:w="0" w:type="dxa"/>
          <w:left w:w="108" w:type="dxa"/>
          <w:bottom w:w="0" w:type="dxa"/>
          <w:right w:w="108" w:type="dxa"/>
        </w:tblCellMar>
      </w:tblPr>
      <w:tblGrid>
        <w:gridCol w:w="513"/>
        <w:gridCol w:w="513"/>
        <w:gridCol w:w="513"/>
        <w:gridCol w:w="1816"/>
        <w:gridCol w:w="2738"/>
        <w:gridCol w:w="2499"/>
        <w:gridCol w:w="2754"/>
      </w:tblGrid>
      <w:tr>
        <w:tblPrEx>
          <w:tblCellMar>
            <w:top w:w="0" w:type="dxa"/>
            <w:left w:w="108" w:type="dxa"/>
            <w:bottom w:w="0" w:type="dxa"/>
            <w:right w:w="108" w:type="dxa"/>
          </w:tblCellMar>
        </w:tblPrEx>
        <w:trPr>
          <w:trHeight w:val="1658" w:hRule="atLeast"/>
          <w:jc w:val="center"/>
        </w:trPr>
        <w:tc>
          <w:tcPr>
            <w:tcW w:w="11346" w:type="dxa"/>
            <w:gridSpan w:val="7"/>
            <w:tcBorders>
              <w:top w:val="nil"/>
              <w:left w:val="nil"/>
              <w:bottom w:val="nil"/>
              <w:right w:val="nil"/>
            </w:tcBorders>
            <w:shd w:val="clear" w:color="auto" w:fill="auto"/>
            <w:vAlign w:val="bottom"/>
          </w:tcPr>
          <w:p>
            <w:pPr>
              <w:pStyle w:val="5"/>
              <w:rPr>
                <w:rFonts w:ascii="宋体" w:hAnsi="宋体" w:cs="Arial"/>
                <w:bCs w:val="0"/>
                <w:color w:val="000000"/>
                <w:kern w:val="0"/>
                <w:sz w:val="28"/>
                <w:szCs w:val="36"/>
              </w:rPr>
            </w:pPr>
            <w:r>
              <w:rPr>
                <w:rFonts w:hint="eastAsia" w:ascii="宋体" w:hAnsi="宋体" w:cs="Arial"/>
                <w:bCs w:val="0"/>
                <w:color w:val="000000"/>
                <w:kern w:val="0"/>
                <w:sz w:val="28"/>
                <w:szCs w:val="36"/>
              </w:rPr>
              <w:t>一般公共预算财政拨款支出决算表</w:t>
            </w:r>
          </w:p>
          <w:p>
            <w:r>
              <w:rPr>
                <w:rFonts w:hint="eastAsia"/>
              </w:rPr>
              <w:t xml:space="preserve">                                                                                            财决05表</w:t>
            </w:r>
          </w:p>
          <w:p>
            <w:r>
              <w:rPr>
                <w:rFonts w:hint="eastAsia"/>
              </w:rPr>
              <w:t xml:space="preserve">公开部门:宁夏回族自治区固原市原州区土地房屋征收办公室      2022年度                         金额单位:元                                                                                   </w:t>
            </w:r>
          </w:p>
        </w:tc>
      </w:tr>
      <w:tr>
        <w:tblPrEx>
          <w:tblCellMar>
            <w:top w:w="0" w:type="dxa"/>
            <w:left w:w="108" w:type="dxa"/>
            <w:bottom w:w="0" w:type="dxa"/>
            <w:right w:w="108" w:type="dxa"/>
          </w:tblCellMar>
        </w:tblPrEx>
        <w:trPr>
          <w:trHeight w:val="465" w:hRule="atLeast"/>
          <w:jc w:val="center"/>
        </w:trPr>
        <w:tc>
          <w:tcPr>
            <w:tcW w:w="3355"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73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49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75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453" w:hRule="atLeast"/>
          <w:jc w:val="center"/>
        </w:trPr>
        <w:tc>
          <w:tcPr>
            <w:tcW w:w="1539"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81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73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9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5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53" w:hRule="atLeast"/>
          <w:jc w:val="center"/>
        </w:trPr>
        <w:tc>
          <w:tcPr>
            <w:tcW w:w="153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3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9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5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53" w:hRule="atLeast"/>
          <w:jc w:val="center"/>
        </w:trPr>
        <w:tc>
          <w:tcPr>
            <w:tcW w:w="1539"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3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9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75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52" w:hRule="atLeast"/>
          <w:jc w:val="center"/>
        </w:trPr>
        <w:tc>
          <w:tcPr>
            <w:tcW w:w="51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51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51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8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49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75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452" w:hRule="atLeast"/>
          <w:jc w:val="center"/>
        </w:trPr>
        <w:tc>
          <w:tcPr>
            <w:tcW w:w="51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51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51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81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73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10,086,462.47　</w:t>
            </w:r>
          </w:p>
        </w:tc>
        <w:tc>
          <w:tcPr>
            <w:tcW w:w="24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987,679.47　</w:t>
            </w:r>
          </w:p>
        </w:tc>
        <w:tc>
          <w:tcPr>
            <w:tcW w:w="27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9,098,783.00　</w:t>
            </w:r>
          </w:p>
        </w:tc>
      </w:tr>
      <w:tr>
        <w:tblPrEx>
          <w:tblCellMar>
            <w:top w:w="0" w:type="dxa"/>
            <w:left w:w="108" w:type="dxa"/>
            <w:bottom w:w="0" w:type="dxa"/>
            <w:right w:w="108" w:type="dxa"/>
          </w:tblCellMar>
        </w:tblPrEx>
        <w:trPr>
          <w:trHeight w:val="452" w:hRule="atLeast"/>
          <w:jc w:val="center"/>
        </w:trPr>
        <w:tc>
          <w:tcPr>
            <w:tcW w:w="153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w:t>
            </w:r>
          </w:p>
        </w:tc>
        <w:tc>
          <w:tcPr>
            <w:tcW w:w="18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一般公共服务支出　</w:t>
            </w:r>
          </w:p>
        </w:tc>
        <w:tc>
          <w:tcPr>
            <w:tcW w:w="273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50,000.00　</w:t>
            </w:r>
          </w:p>
        </w:tc>
        <w:tc>
          <w:tcPr>
            <w:tcW w:w="24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7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50,000.00　</w:t>
            </w:r>
          </w:p>
        </w:tc>
      </w:tr>
      <w:tr>
        <w:tblPrEx>
          <w:tblCellMar>
            <w:top w:w="0" w:type="dxa"/>
            <w:left w:w="108" w:type="dxa"/>
            <w:bottom w:w="0" w:type="dxa"/>
            <w:right w:w="108" w:type="dxa"/>
          </w:tblCellMar>
        </w:tblPrEx>
        <w:trPr>
          <w:trHeight w:val="452" w:hRule="atLeast"/>
          <w:jc w:val="center"/>
        </w:trPr>
        <w:tc>
          <w:tcPr>
            <w:tcW w:w="153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20199</w:t>
            </w:r>
          </w:p>
        </w:tc>
        <w:tc>
          <w:tcPr>
            <w:tcW w:w="18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其他一般公共服务支出　</w:t>
            </w:r>
          </w:p>
        </w:tc>
        <w:tc>
          <w:tcPr>
            <w:tcW w:w="273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50,000.00　</w:t>
            </w:r>
          </w:p>
        </w:tc>
        <w:tc>
          <w:tcPr>
            <w:tcW w:w="24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7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50,000.00　</w:t>
            </w:r>
          </w:p>
        </w:tc>
      </w:tr>
      <w:tr>
        <w:tblPrEx>
          <w:tblCellMar>
            <w:top w:w="0" w:type="dxa"/>
            <w:left w:w="108" w:type="dxa"/>
            <w:bottom w:w="0" w:type="dxa"/>
            <w:right w:w="108" w:type="dxa"/>
          </w:tblCellMar>
        </w:tblPrEx>
        <w:trPr>
          <w:trHeight w:val="452" w:hRule="atLeast"/>
          <w:jc w:val="center"/>
        </w:trPr>
        <w:tc>
          <w:tcPr>
            <w:tcW w:w="153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2019999</w:t>
            </w:r>
          </w:p>
        </w:tc>
        <w:tc>
          <w:tcPr>
            <w:tcW w:w="18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其他一般公共服务支出</w:t>
            </w:r>
          </w:p>
        </w:tc>
        <w:tc>
          <w:tcPr>
            <w:tcW w:w="273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50,000.00　</w:t>
            </w:r>
          </w:p>
        </w:tc>
        <w:tc>
          <w:tcPr>
            <w:tcW w:w="24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7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50,000.00　</w:t>
            </w:r>
          </w:p>
        </w:tc>
      </w:tr>
      <w:tr>
        <w:tblPrEx>
          <w:tblCellMar>
            <w:top w:w="0" w:type="dxa"/>
            <w:left w:w="108" w:type="dxa"/>
            <w:bottom w:w="0" w:type="dxa"/>
            <w:right w:w="108" w:type="dxa"/>
          </w:tblCellMar>
        </w:tblPrEx>
        <w:trPr>
          <w:trHeight w:val="452" w:hRule="atLeast"/>
          <w:jc w:val="center"/>
        </w:trPr>
        <w:tc>
          <w:tcPr>
            <w:tcW w:w="153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w:t>
            </w:r>
          </w:p>
        </w:tc>
        <w:tc>
          <w:tcPr>
            <w:tcW w:w="18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6"/>
                <w:szCs w:val="16"/>
              </w:rPr>
            </w:pPr>
            <w:r>
              <w:rPr>
                <w:rFonts w:hint="eastAsia" w:ascii="宋体" w:hAnsi="宋体" w:cs="Arial"/>
                <w:color w:val="000000"/>
                <w:kern w:val="0"/>
                <w:sz w:val="16"/>
                <w:szCs w:val="16"/>
              </w:rPr>
              <w:t>社会保障和就业支出　</w:t>
            </w:r>
          </w:p>
        </w:tc>
        <w:tc>
          <w:tcPr>
            <w:tcW w:w="273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137,628.52　</w:t>
            </w:r>
          </w:p>
        </w:tc>
        <w:tc>
          <w:tcPr>
            <w:tcW w:w="24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137,628.52　</w:t>
            </w:r>
          </w:p>
        </w:tc>
        <w:tc>
          <w:tcPr>
            <w:tcW w:w="27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52" w:hRule="atLeast"/>
          <w:jc w:val="center"/>
        </w:trPr>
        <w:tc>
          <w:tcPr>
            <w:tcW w:w="1539"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w:t>
            </w:r>
          </w:p>
        </w:tc>
        <w:tc>
          <w:tcPr>
            <w:tcW w:w="181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行政事业单位养老支出　</w:t>
            </w:r>
          </w:p>
        </w:tc>
        <w:tc>
          <w:tcPr>
            <w:tcW w:w="273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137,628.52　</w:t>
            </w:r>
          </w:p>
        </w:tc>
        <w:tc>
          <w:tcPr>
            <w:tcW w:w="249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137,628.52　</w:t>
            </w:r>
          </w:p>
        </w:tc>
        <w:tc>
          <w:tcPr>
            <w:tcW w:w="27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52" w:hRule="atLeast"/>
          <w:jc w:val="center"/>
        </w:trPr>
        <w:tc>
          <w:tcPr>
            <w:tcW w:w="15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2080505</w:t>
            </w:r>
          </w:p>
        </w:tc>
        <w:tc>
          <w:tcPr>
            <w:tcW w:w="181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0"/>
                <w:szCs w:val="10"/>
              </w:rPr>
            </w:pPr>
            <w:r>
              <w:rPr>
                <w:rFonts w:hint="eastAsia" w:ascii="宋体" w:hAnsi="宋体" w:cs="Arial"/>
                <w:color w:val="000000"/>
                <w:kern w:val="0"/>
                <w:sz w:val="10"/>
                <w:szCs w:val="10"/>
              </w:rPr>
              <w:t>机关事业单位基本养老保险缴费支出　</w:t>
            </w:r>
          </w:p>
        </w:tc>
        <w:tc>
          <w:tcPr>
            <w:tcW w:w="273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90,531.16　</w:t>
            </w:r>
          </w:p>
        </w:tc>
        <w:tc>
          <w:tcPr>
            <w:tcW w:w="249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90,531.16　</w:t>
            </w:r>
          </w:p>
        </w:tc>
        <w:tc>
          <w:tcPr>
            <w:tcW w:w="275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52" w:hRule="atLeast"/>
          <w:jc w:val="center"/>
        </w:trPr>
        <w:tc>
          <w:tcPr>
            <w:tcW w:w="15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2080506</w:t>
            </w:r>
          </w:p>
        </w:tc>
        <w:tc>
          <w:tcPr>
            <w:tcW w:w="181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机关事业单位职业年金缴费支出</w:t>
            </w:r>
          </w:p>
        </w:tc>
        <w:tc>
          <w:tcPr>
            <w:tcW w:w="273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47,097.36</w:t>
            </w:r>
          </w:p>
        </w:tc>
        <w:tc>
          <w:tcPr>
            <w:tcW w:w="249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47,097.36</w:t>
            </w:r>
          </w:p>
        </w:tc>
        <w:tc>
          <w:tcPr>
            <w:tcW w:w="275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52" w:hRule="atLeast"/>
          <w:jc w:val="center"/>
        </w:trPr>
        <w:tc>
          <w:tcPr>
            <w:tcW w:w="15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181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卫生健康支出</w:t>
            </w:r>
          </w:p>
        </w:tc>
        <w:tc>
          <w:tcPr>
            <w:tcW w:w="273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31,788.69</w:t>
            </w:r>
          </w:p>
        </w:tc>
        <w:tc>
          <w:tcPr>
            <w:tcW w:w="249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31,788.69</w:t>
            </w:r>
          </w:p>
        </w:tc>
        <w:tc>
          <w:tcPr>
            <w:tcW w:w="275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52" w:hRule="atLeast"/>
          <w:jc w:val="center"/>
        </w:trPr>
        <w:tc>
          <w:tcPr>
            <w:tcW w:w="15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21011</w:t>
            </w:r>
          </w:p>
        </w:tc>
        <w:tc>
          <w:tcPr>
            <w:tcW w:w="181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行政事业单位医疗</w:t>
            </w:r>
          </w:p>
        </w:tc>
        <w:tc>
          <w:tcPr>
            <w:tcW w:w="273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31,788.69</w:t>
            </w:r>
          </w:p>
        </w:tc>
        <w:tc>
          <w:tcPr>
            <w:tcW w:w="249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31,788.69</w:t>
            </w:r>
          </w:p>
        </w:tc>
        <w:tc>
          <w:tcPr>
            <w:tcW w:w="275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52" w:hRule="atLeast"/>
          <w:jc w:val="center"/>
        </w:trPr>
        <w:tc>
          <w:tcPr>
            <w:tcW w:w="15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2101103</w:t>
            </w:r>
          </w:p>
        </w:tc>
        <w:tc>
          <w:tcPr>
            <w:tcW w:w="181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公务员医疗补助</w:t>
            </w:r>
          </w:p>
        </w:tc>
        <w:tc>
          <w:tcPr>
            <w:tcW w:w="273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4,021.53</w:t>
            </w:r>
          </w:p>
        </w:tc>
        <w:tc>
          <w:tcPr>
            <w:tcW w:w="249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4,021.53</w:t>
            </w:r>
          </w:p>
        </w:tc>
        <w:tc>
          <w:tcPr>
            <w:tcW w:w="275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52" w:hRule="atLeast"/>
          <w:jc w:val="center"/>
        </w:trPr>
        <w:tc>
          <w:tcPr>
            <w:tcW w:w="15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2101199</w:t>
            </w:r>
          </w:p>
        </w:tc>
        <w:tc>
          <w:tcPr>
            <w:tcW w:w="181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其他行政事业单位医疗支出</w:t>
            </w:r>
          </w:p>
        </w:tc>
        <w:tc>
          <w:tcPr>
            <w:tcW w:w="273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27,767.16</w:t>
            </w:r>
          </w:p>
        </w:tc>
        <w:tc>
          <w:tcPr>
            <w:tcW w:w="249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27,767.16</w:t>
            </w:r>
          </w:p>
        </w:tc>
        <w:tc>
          <w:tcPr>
            <w:tcW w:w="275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52" w:hRule="atLeast"/>
          <w:jc w:val="center"/>
        </w:trPr>
        <w:tc>
          <w:tcPr>
            <w:tcW w:w="15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212</w:t>
            </w:r>
          </w:p>
        </w:tc>
        <w:tc>
          <w:tcPr>
            <w:tcW w:w="181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城乡社区支出</w:t>
            </w:r>
          </w:p>
        </w:tc>
        <w:tc>
          <w:tcPr>
            <w:tcW w:w="273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9,742,871.04</w:t>
            </w:r>
          </w:p>
        </w:tc>
        <w:tc>
          <w:tcPr>
            <w:tcW w:w="249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694,088.04</w:t>
            </w:r>
          </w:p>
        </w:tc>
        <w:tc>
          <w:tcPr>
            <w:tcW w:w="275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9,048,783.00</w:t>
            </w:r>
          </w:p>
        </w:tc>
      </w:tr>
      <w:tr>
        <w:tblPrEx>
          <w:tblCellMar>
            <w:top w:w="0" w:type="dxa"/>
            <w:left w:w="108" w:type="dxa"/>
            <w:bottom w:w="0" w:type="dxa"/>
            <w:right w:w="108" w:type="dxa"/>
          </w:tblCellMar>
        </w:tblPrEx>
        <w:trPr>
          <w:trHeight w:val="452" w:hRule="atLeast"/>
          <w:jc w:val="center"/>
        </w:trPr>
        <w:tc>
          <w:tcPr>
            <w:tcW w:w="15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21201</w:t>
            </w:r>
          </w:p>
        </w:tc>
        <w:tc>
          <w:tcPr>
            <w:tcW w:w="181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城乡社区管理事务</w:t>
            </w:r>
          </w:p>
        </w:tc>
        <w:tc>
          <w:tcPr>
            <w:tcW w:w="273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694,088.04</w:t>
            </w:r>
          </w:p>
        </w:tc>
        <w:tc>
          <w:tcPr>
            <w:tcW w:w="249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694,088.04</w:t>
            </w:r>
          </w:p>
        </w:tc>
        <w:tc>
          <w:tcPr>
            <w:tcW w:w="275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52" w:hRule="atLeast"/>
          <w:jc w:val="center"/>
        </w:trPr>
        <w:tc>
          <w:tcPr>
            <w:tcW w:w="15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2120101</w:t>
            </w:r>
          </w:p>
        </w:tc>
        <w:tc>
          <w:tcPr>
            <w:tcW w:w="181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行政运行</w:t>
            </w:r>
          </w:p>
        </w:tc>
        <w:tc>
          <w:tcPr>
            <w:tcW w:w="273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694,088.04</w:t>
            </w:r>
          </w:p>
        </w:tc>
        <w:tc>
          <w:tcPr>
            <w:tcW w:w="249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694,088.04</w:t>
            </w:r>
          </w:p>
        </w:tc>
        <w:tc>
          <w:tcPr>
            <w:tcW w:w="275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52" w:hRule="atLeast"/>
          <w:jc w:val="center"/>
        </w:trPr>
        <w:tc>
          <w:tcPr>
            <w:tcW w:w="15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21299</w:t>
            </w:r>
          </w:p>
        </w:tc>
        <w:tc>
          <w:tcPr>
            <w:tcW w:w="181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其他城乡社区支出</w:t>
            </w:r>
          </w:p>
        </w:tc>
        <w:tc>
          <w:tcPr>
            <w:tcW w:w="273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9,048,783.00</w:t>
            </w:r>
          </w:p>
        </w:tc>
        <w:tc>
          <w:tcPr>
            <w:tcW w:w="249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75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9,048,783.00</w:t>
            </w:r>
          </w:p>
        </w:tc>
      </w:tr>
      <w:tr>
        <w:tblPrEx>
          <w:tblCellMar>
            <w:top w:w="0" w:type="dxa"/>
            <w:left w:w="108" w:type="dxa"/>
            <w:bottom w:w="0" w:type="dxa"/>
            <w:right w:w="108" w:type="dxa"/>
          </w:tblCellMar>
        </w:tblPrEx>
        <w:trPr>
          <w:trHeight w:val="452" w:hRule="atLeast"/>
          <w:jc w:val="center"/>
        </w:trPr>
        <w:tc>
          <w:tcPr>
            <w:tcW w:w="15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2129999</w:t>
            </w:r>
          </w:p>
        </w:tc>
        <w:tc>
          <w:tcPr>
            <w:tcW w:w="181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其他城乡社区支出</w:t>
            </w:r>
          </w:p>
        </w:tc>
        <w:tc>
          <w:tcPr>
            <w:tcW w:w="273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9,048,783.00</w:t>
            </w:r>
          </w:p>
        </w:tc>
        <w:tc>
          <w:tcPr>
            <w:tcW w:w="249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c>
          <w:tcPr>
            <w:tcW w:w="275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9,048,783.00</w:t>
            </w:r>
          </w:p>
        </w:tc>
      </w:tr>
      <w:tr>
        <w:tblPrEx>
          <w:tblCellMar>
            <w:top w:w="0" w:type="dxa"/>
            <w:left w:w="108" w:type="dxa"/>
            <w:bottom w:w="0" w:type="dxa"/>
            <w:right w:w="108" w:type="dxa"/>
          </w:tblCellMar>
        </w:tblPrEx>
        <w:trPr>
          <w:trHeight w:val="452" w:hRule="atLeast"/>
          <w:jc w:val="center"/>
        </w:trPr>
        <w:tc>
          <w:tcPr>
            <w:tcW w:w="15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181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住房保障支出</w:t>
            </w:r>
          </w:p>
        </w:tc>
        <w:tc>
          <w:tcPr>
            <w:tcW w:w="273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124,174.22</w:t>
            </w:r>
          </w:p>
        </w:tc>
        <w:tc>
          <w:tcPr>
            <w:tcW w:w="249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124,174.22</w:t>
            </w:r>
          </w:p>
        </w:tc>
        <w:tc>
          <w:tcPr>
            <w:tcW w:w="275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52" w:hRule="atLeast"/>
          <w:jc w:val="center"/>
        </w:trPr>
        <w:tc>
          <w:tcPr>
            <w:tcW w:w="15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181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住房改革支出</w:t>
            </w:r>
          </w:p>
        </w:tc>
        <w:tc>
          <w:tcPr>
            <w:tcW w:w="273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124,174.22</w:t>
            </w:r>
          </w:p>
        </w:tc>
        <w:tc>
          <w:tcPr>
            <w:tcW w:w="249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124,174.22</w:t>
            </w:r>
          </w:p>
        </w:tc>
        <w:tc>
          <w:tcPr>
            <w:tcW w:w="275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52" w:hRule="atLeast"/>
          <w:jc w:val="center"/>
        </w:trPr>
        <w:tc>
          <w:tcPr>
            <w:tcW w:w="15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181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住房公积金</w:t>
            </w:r>
          </w:p>
        </w:tc>
        <w:tc>
          <w:tcPr>
            <w:tcW w:w="273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82,657.96</w:t>
            </w:r>
          </w:p>
        </w:tc>
        <w:tc>
          <w:tcPr>
            <w:tcW w:w="249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82,657.96</w:t>
            </w:r>
          </w:p>
        </w:tc>
        <w:tc>
          <w:tcPr>
            <w:tcW w:w="275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52" w:hRule="atLeast"/>
          <w:jc w:val="center"/>
        </w:trPr>
        <w:tc>
          <w:tcPr>
            <w:tcW w:w="1539"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2210203</w:t>
            </w:r>
          </w:p>
        </w:tc>
        <w:tc>
          <w:tcPr>
            <w:tcW w:w="1816"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5"/>
                <w:szCs w:val="15"/>
              </w:rPr>
            </w:pPr>
            <w:r>
              <w:rPr>
                <w:rFonts w:hint="eastAsia" w:ascii="宋体" w:hAnsi="宋体" w:cs="Arial"/>
                <w:color w:val="000000"/>
                <w:kern w:val="0"/>
                <w:sz w:val="15"/>
                <w:szCs w:val="15"/>
              </w:rPr>
              <w:t>购房补贴</w:t>
            </w:r>
          </w:p>
        </w:tc>
        <w:tc>
          <w:tcPr>
            <w:tcW w:w="273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41,516.26</w:t>
            </w:r>
          </w:p>
        </w:tc>
        <w:tc>
          <w:tcPr>
            <w:tcW w:w="249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41,516.26</w:t>
            </w:r>
          </w:p>
        </w:tc>
        <w:tc>
          <w:tcPr>
            <w:tcW w:w="275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723" w:hRule="atLeast"/>
          <w:jc w:val="center"/>
        </w:trPr>
        <w:tc>
          <w:tcPr>
            <w:tcW w:w="11346"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center"/>
              <w:rPr>
                <w:rFonts w:ascii="宋体" w:hAnsi="宋体" w:cs="Arial"/>
                <w:b/>
                <w:color w:val="000000"/>
                <w:kern w:val="0"/>
                <w:sz w:val="28"/>
                <w:szCs w:val="28"/>
              </w:rPr>
            </w:pPr>
            <w:r>
              <w:rPr>
                <w:rFonts w:hint="eastAsia" w:ascii="宋体" w:hAnsi="宋体" w:cs="Arial"/>
                <w:b/>
                <w:color w:val="000000"/>
                <w:kern w:val="0"/>
                <w:sz w:val="28"/>
                <w:szCs w:val="28"/>
              </w:rPr>
              <w:t>一般公共预算财政拨款支出决算表</w:t>
            </w:r>
          </w:p>
          <w:p>
            <w:pPr>
              <w:widowControl/>
              <w:rPr>
                <w:rFonts w:ascii="宋体" w:hAnsi="宋体" w:cs="Arial"/>
                <w:color w:val="000000"/>
                <w:kern w:val="0"/>
                <w:szCs w:val="21"/>
              </w:rPr>
            </w:pPr>
            <w:r>
              <w:rPr>
                <w:rFonts w:hint="eastAsia" w:ascii="宋体" w:hAnsi="宋体" w:cs="Arial"/>
                <w:b/>
                <w:color w:val="000000"/>
                <w:kern w:val="0"/>
                <w:szCs w:val="21"/>
              </w:rPr>
              <w:t xml:space="preserve">                                                                                              </w:t>
            </w:r>
            <w:r>
              <w:rPr>
                <w:rFonts w:hint="eastAsia" w:ascii="宋体" w:hAnsi="宋体" w:cs="Arial"/>
                <w:color w:val="000000"/>
                <w:kern w:val="0"/>
                <w:szCs w:val="21"/>
              </w:rPr>
              <w:t>财决06表</w:t>
            </w:r>
          </w:p>
          <w:p>
            <w:pPr>
              <w:widowControl/>
              <w:rPr>
                <w:rFonts w:ascii="宋体" w:hAnsi="宋体" w:cs="Arial"/>
                <w:b/>
                <w:color w:val="000000"/>
                <w:kern w:val="0"/>
                <w:sz w:val="28"/>
                <w:szCs w:val="28"/>
              </w:rPr>
            </w:pPr>
            <w:r>
              <w:rPr>
                <w:rFonts w:hint="eastAsia" w:ascii="宋体" w:hAnsi="宋体" w:cs="Arial"/>
                <w:color w:val="000000"/>
                <w:kern w:val="0"/>
                <w:szCs w:val="21"/>
              </w:rPr>
              <w:t>公开单位:宁夏回族自治区固原市原州区土地房屋征收办公室          2022年度                       金额单位:元</w:t>
            </w:r>
          </w:p>
        </w:tc>
      </w:tr>
    </w:tbl>
    <w:tbl>
      <w:tblPr>
        <w:tblStyle w:val="6"/>
        <w:tblpPr w:leftFromText="180" w:rightFromText="180" w:vertAnchor="text" w:horzAnchor="margin" w:tblpXSpec="center" w:tblpY="14"/>
        <w:tblOverlap w:val="never"/>
        <w:tblW w:w="13910" w:type="dxa"/>
        <w:tblInd w:w="0" w:type="dxa"/>
        <w:tblLayout w:type="fixed"/>
        <w:tblCellMar>
          <w:top w:w="0" w:type="dxa"/>
          <w:left w:w="0" w:type="dxa"/>
          <w:bottom w:w="0" w:type="dxa"/>
          <w:right w:w="0" w:type="dxa"/>
        </w:tblCellMar>
      </w:tblPr>
      <w:tblGrid>
        <w:gridCol w:w="950"/>
        <w:gridCol w:w="2445"/>
        <w:gridCol w:w="1169"/>
        <w:gridCol w:w="975"/>
        <w:gridCol w:w="1951"/>
        <w:gridCol w:w="1229"/>
        <w:gridCol w:w="903"/>
        <w:gridCol w:w="3240"/>
        <w:gridCol w:w="1048"/>
      </w:tblGrid>
      <w:tr>
        <w:tblPrEx>
          <w:tblCellMar>
            <w:top w:w="0" w:type="dxa"/>
            <w:left w:w="0" w:type="dxa"/>
            <w:bottom w:w="0" w:type="dxa"/>
            <w:right w:w="0" w:type="dxa"/>
          </w:tblCellMar>
        </w:tblPrEx>
        <w:trPr>
          <w:trHeight w:val="243" w:hRule="exact"/>
        </w:trPr>
        <w:tc>
          <w:tcPr>
            <w:tcW w:w="456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人员经费</w:t>
            </w:r>
          </w:p>
        </w:tc>
        <w:tc>
          <w:tcPr>
            <w:tcW w:w="9346" w:type="dxa"/>
            <w:gridSpan w:val="6"/>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公用经费</w:t>
            </w: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科目编码</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8"/>
                <w:szCs w:val="18"/>
              </w:rPr>
            </w:pPr>
            <w:r>
              <w:rPr>
                <w:rFonts w:hint="eastAsia" w:ascii="宋体" w:hAnsi="宋体" w:eastAsia="宋体" w:cs="宋体"/>
                <w:color w:val="000000"/>
                <w:kern w:val="0"/>
                <w:sz w:val="18"/>
                <w:szCs w:val="18"/>
              </w:rPr>
              <w:t>金额</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科目编码</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8"/>
                <w:szCs w:val="18"/>
              </w:rPr>
            </w:pPr>
            <w:r>
              <w:rPr>
                <w:rFonts w:hint="eastAsia" w:ascii="宋体" w:hAnsi="宋体" w:eastAsia="宋体" w:cs="宋体"/>
                <w:color w:val="000000"/>
                <w:kern w:val="0"/>
                <w:sz w:val="18"/>
                <w:szCs w:val="18"/>
              </w:rPr>
              <w:t>金额</w:t>
            </w: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科目编码</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8"/>
                <w:szCs w:val="18"/>
              </w:rPr>
            </w:pPr>
            <w:r>
              <w:rPr>
                <w:rFonts w:hint="eastAsia" w:ascii="Arial" w:hAnsi="Arial" w:eastAsia="宋体" w:cs="Arial"/>
                <w:color w:val="000000"/>
                <w:sz w:val="18"/>
                <w:szCs w:val="18"/>
              </w:rPr>
              <w:t>金额</w:t>
            </w: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工资福利支出</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商品和服务支出</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资本性支出</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r>
              <w:rPr>
                <w:rFonts w:hint="eastAsia" w:ascii="Arial" w:hAnsi="Arial" w:eastAsia="宋体" w:cs="Arial"/>
                <w:color w:val="000000"/>
                <w:sz w:val="16"/>
                <w:szCs w:val="16"/>
              </w:rPr>
              <w:t>39,986,536.7</w:t>
            </w: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30101</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基本工资</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r>
              <w:rPr>
                <w:rFonts w:hint="eastAsia" w:ascii="Arial" w:hAnsi="Arial" w:eastAsia="宋体" w:cs="Arial"/>
                <w:color w:val="000000"/>
                <w:sz w:val="18"/>
                <w:szCs w:val="18"/>
              </w:rPr>
              <w:t>180,038.00</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30201</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r>
              <w:rPr>
                <w:rFonts w:hint="eastAsia" w:ascii="Arial" w:hAnsi="Arial" w:eastAsia="宋体" w:cs="Arial"/>
                <w:color w:val="000000"/>
                <w:sz w:val="18"/>
                <w:szCs w:val="18"/>
              </w:rPr>
              <w:t>11,529.00</w:t>
            </w: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31001</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房屋建筑物购建</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30102</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津贴补贴</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r>
              <w:rPr>
                <w:rFonts w:hint="eastAsia" w:ascii="Arial" w:hAnsi="Arial" w:eastAsia="宋体" w:cs="Arial"/>
                <w:color w:val="000000"/>
                <w:sz w:val="18"/>
                <w:szCs w:val="18"/>
              </w:rPr>
              <w:t>233,827.26</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30202</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印刷费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31002</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办公设备购置</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30103</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奖金</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r>
              <w:rPr>
                <w:rFonts w:hint="eastAsia" w:ascii="Arial" w:hAnsi="Arial" w:eastAsia="宋体" w:cs="Arial"/>
                <w:color w:val="000000"/>
                <w:sz w:val="18"/>
                <w:szCs w:val="18"/>
              </w:rPr>
              <w:t>238,760.00</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30203</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咨询费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31003</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专用设备购置</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30106</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伙食补助费</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30204</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手续费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31005</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基础设施建设</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30107</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绩效工资</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r>
              <w:rPr>
                <w:rFonts w:hint="eastAsia" w:ascii="Arial" w:hAnsi="Arial" w:eastAsia="宋体" w:cs="Arial"/>
                <w:color w:val="000000"/>
                <w:sz w:val="18"/>
                <w:szCs w:val="18"/>
              </w:rPr>
              <w:t>32,794.00</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30205</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水费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31006</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大型修缮</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30108</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机关事业单位基本养老保险缴费</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r>
              <w:rPr>
                <w:rFonts w:hint="eastAsia" w:ascii="Arial" w:hAnsi="Arial" w:eastAsia="宋体" w:cs="Arial"/>
                <w:color w:val="000000"/>
                <w:sz w:val="18"/>
                <w:szCs w:val="18"/>
              </w:rPr>
              <w:t>90,531.16</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30206</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电费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31007</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信息网络及软件购置更新</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30109</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职业年金缴费</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r>
              <w:rPr>
                <w:rFonts w:hint="eastAsia" w:ascii="Arial" w:hAnsi="Arial" w:eastAsia="宋体" w:cs="Arial"/>
                <w:color w:val="000000"/>
                <w:sz w:val="18"/>
                <w:szCs w:val="18"/>
              </w:rPr>
              <w:t>47,097.36</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30207</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邮电费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r>
              <w:rPr>
                <w:rFonts w:hint="eastAsia" w:ascii="Arial" w:hAnsi="Arial" w:eastAsia="宋体" w:cs="Arial"/>
                <w:color w:val="000000"/>
                <w:sz w:val="18"/>
                <w:szCs w:val="18"/>
              </w:rPr>
              <w:t>180.00</w:t>
            </w: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31008</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物资储备</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30110</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职工基本医疗保险缴费</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r>
              <w:rPr>
                <w:rFonts w:hint="eastAsia" w:ascii="Arial" w:hAnsi="Arial" w:eastAsia="宋体" w:cs="Arial"/>
                <w:color w:val="000000"/>
                <w:sz w:val="18"/>
                <w:szCs w:val="18"/>
              </w:rPr>
              <w:t>27,767.16</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30208</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取暖费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31009</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土地补偿</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30111</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公务员医疗补助缴费</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r>
              <w:rPr>
                <w:rFonts w:hint="eastAsia" w:ascii="Arial" w:hAnsi="Arial" w:eastAsia="宋体" w:cs="Arial"/>
                <w:color w:val="000000"/>
                <w:sz w:val="18"/>
                <w:szCs w:val="18"/>
              </w:rPr>
              <w:t>4,021.53</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30209</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物业管理费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31010</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安置补助</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r>
              <w:rPr>
                <w:rFonts w:hint="eastAsia" w:ascii="Arial" w:hAnsi="Arial" w:eastAsia="宋体" w:cs="Arial"/>
                <w:color w:val="000000"/>
                <w:sz w:val="16"/>
                <w:szCs w:val="16"/>
              </w:rPr>
              <w:t>39,986,536.7</w:t>
            </w:r>
            <w:r>
              <w:rPr>
                <w:rFonts w:hint="eastAsia" w:ascii="Arial" w:hAnsi="Arial" w:eastAsia="宋体" w:cs="Arial"/>
                <w:color w:val="000000"/>
                <w:sz w:val="18"/>
                <w:szCs w:val="18"/>
              </w:rPr>
              <w:t>0</w:t>
            </w: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30112</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其他社会保障缴费</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r>
              <w:rPr>
                <w:rFonts w:hint="eastAsia" w:ascii="Arial" w:hAnsi="Arial" w:eastAsia="宋体" w:cs="Arial"/>
                <w:color w:val="000000"/>
                <w:sz w:val="18"/>
                <w:szCs w:val="18"/>
              </w:rPr>
              <w:t>2,567.34</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30211</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差旅费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r>
              <w:rPr>
                <w:rFonts w:hint="eastAsia" w:ascii="Arial" w:hAnsi="Arial" w:eastAsia="宋体" w:cs="Arial"/>
                <w:color w:val="000000"/>
                <w:sz w:val="18"/>
                <w:szCs w:val="18"/>
              </w:rPr>
              <w:t>6,400.00</w:t>
            </w: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31011</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地上附着物和青苗补偿</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30113</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住房公积金</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r>
              <w:rPr>
                <w:rFonts w:hint="eastAsia" w:ascii="Arial" w:hAnsi="Arial" w:eastAsia="宋体" w:cs="Arial"/>
                <w:color w:val="000000"/>
                <w:sz w:val="18"/>
                <w:szCs w:val="18"/>
              </w:rPr>
              <w:t>82,657.96</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30212</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因公出国（境）费用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31012</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拆迁补偿</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1"/>
                <w:szCs w:val="11"/>
              </w:rPr>
            </w:pPr>
          </w:p>
        </w:tc>
      </w:tr>
      <w:tr>
        <w:tblPrEx>
          <w:tblCellMar>
            <w:top w:w="0" w:type="dxa"/>
            <w:left w:w="0" w:type="dxa"/>
            <w:bottom w:w="0" w:type="dxa"/>
            <w:right w:w="0" w:type="dxa"/>
          </w:tblCellMar>
        </w:tblPrEx>
        <w:trPr>
          <w:trHeight w:val="170"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30114</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医疗费</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30213</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维修(护)费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r>
              <w:rPr>
                <w:rFonts w:hint="eastAsia" w:ascii="Arial" w:hAnsi="Arial" w:eastAsia="宋体" w:cs="Arial"/>
                <w:color w:val="000000"/>
                <w:sz w:val="18"/>
                <w:szCs w:val="18"/>
              </w:rPr>
              <w:t>6,038.00</w:t>
            </w: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31013</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公务用车购置</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30199</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其他工资福利支出</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30214</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租赁费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31019</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其他交通工具购置</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303</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对个人和家庭的补助</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30215</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会议费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31021</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  文物和陈列品购置</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30301</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离休费</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30216</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培训费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31022</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 xml:space="preserve">  无形资产购置</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30302</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退休费</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30217</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公务接待费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31099</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其他资本性支出</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30303</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退职（役）费</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30218</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专用材料费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312</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对企业补助</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30304</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抚恤金</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30224</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被装购置费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31201</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 xml:space="preserve">  资本金注入</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30305</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生活补助</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30225</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专用燃料费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31203</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 xml:space="preserve">  政府投资基金股权投资</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ordWrap w:val="0"/>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30306</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救济费</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30226</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劳务费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 xml:space="preserve">31204 </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 xml:space="preserve">  费用补贴</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30307</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医疗费补助</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r>
              <w:rPr>
                <w:rFonts w:hint="eastAsia" w:ascii="Arial" w:hAnsi="Arial" w:eastAsia="宋体" w:cs="Arial"/>
                <w:color w:val="000000"/>
                <w:sz w:val="18"/>
                <w:szCs w:val="18"/>
              </w:rPr>
              <w:t>16,135.00</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30227</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委托业务费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31205</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 xml:space="preserve">  利息补贴</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30308</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助学金</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30228</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工会经费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r>
              <w:rPr>
                <w:rFonts w:hint="eastAsia" w:ascii="Arial" w:hAnsi="Arial" w:eastAsia="宋体" w:cs="Arial"/>
                <w:color w:val="000000"/>
                <w:sz w:val="18"/>
                <w:szCs w:val="18"/>
              </w:rPr>
              <w:t>5,739.70</w:t>
            </w: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31299</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 xml:space="preserve">  其他对企业补助</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30309</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奖励金</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30229</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福利费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399</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其他支出</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30310</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ind w:firstLine="180" w:firstLineChars="10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个人农业生产补贴</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30231</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 xml:space="preserve">  公务用车运行维护费</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39906</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 xml:space="preserve">  赠与</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30311</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代缴社会保险费</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30239</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 xml:space="preserve">  其他交通费用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39907</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 xml:space="preserve">  国家赔偿费用支出</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cantSplit/>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30399</w:t>
            </w: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其他对个人和家庭的补助</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30240</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 xml:space="preserve">  税金及附加费用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left"/>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39908</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spacing w:line="24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rPr>
              <w:t xml:space="preserve">  对民间非营利组织和群众性自治组织补贴</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30299</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 xml:space="preserve">  其他商品服务支出</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r>
              <w:rPr>
                <w:rFonts w:hint="eastAsia" w:ascii="Arial" w:hAnsi="Arial" w:eastAsia="宋体" w:cs="Arial"/>
                <w:color w:val="000000"/>
                <w:sz w:val="18"/>
                <w:szCs w:val="18"/>
              </w:rPr>
              <w:t>1,596.00</w:t>
            </w: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39999</w:t>
            </w: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 xml:space="preserve">  其他支出</w:t>
            </w: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债务利息及费用支出</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30701</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国内债务付息</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30702</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国外债务付息</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30703</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 xml:space="preserve">  国内债务发行费用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950"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p>
        </w:tc>
        <w:tc>
          <w:tcPr>
            <w:tcW w:w="24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7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30704</w:t>
            </w:r>
          </w:p>
        </w:tc>
        <w:tc>
          <w:tcPr>
            <w:tcW w:w="195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r>
              <w:rPr>
                <w:rFonts w:hint="eastAsia" w:ascii="宋体" w:hAnsi="宋体" w:eastAsia="宋体" w:cs="宋体"/>
                <w:color w:val="000000"/>
                <w:sz w:val="18"/>
                <w:szCs w:val="18"/>
              </w:rPr>
              <w:t xml:space="preserve">  国外债务发行费用</w:t>
            </w:r>
          </w:p>
        </w:tc>
        <w:tc>
          <w:tcPr>
            <w:tcW w:w="1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c>
          <w:tcPr>
            <w:tcW w:w="903"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8"/>
                <w:szCs w:val="18"/>
              </w:rPr>
            </w:pPr>
          </w:p>
        </w:tc>
        <w:tc>
          <w:tcPr>
            <w:tcW w:w="32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宋体" w:hAnsi="宋体" w:eastAsia="宋体" w:cs="宋体"/>
                <w:color w:val="000000"/>
                <w:sz w:val="22"/>
                <w:szCs w:val="22"/>
              </w:rPr>
            </w:pPr>
          </w:p>
          <w:p>
            <w:pPr>
              <w:widowControl/>
              <w:textAlignment w:val="center"/>
              <w:rPr>
                <w:rFonts w:ascii="宋体" w:hAnsi="宋体" w:eastAsia="宋体" w:cs="宋体"/>
                <w:color w:val="000000"/>
                <w:sz w:val="18"/>
                <w:szCs w:val="18"/>
              </w:rPr>
            </w:pPr>
          </w:p>
        </w:tc>
        <w:tc>
          <w:tcPr>
            <w:tcW w:w="1048"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43" w:hRule="exact"/>
        </w:trPr>
        <w:tc>
          <w:tcPr>
            <w:tcW w:w="33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人员经费合计</w:t>
            </w:r>
          </w:p>
        </w:tc>
        <w:tc>
          <w:tcPr>
            <w:tcW w:w="116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Arial" w:hAnsi="Arial" w:eastAsia="宋体" w:cs="Arial"/>
                <w:color w:val="000000"/>
                <w:sz w:val="18"/>
                <w:szCs w:val="18"/>
              </w:rPr>
            </w:pPr>
            <w:r>
              <w:rPr>
                <w:rFonts w:hint="eastAsia" w:ascii="Arial" w:hAnsi="Arial" w:eastAsia="宋体" w:cs="Arial"/>
                <w:color w:val="000000"/>
                <w:sz w:val="18"/>
                <w:szCs w:val="18"/>
              </w:rPr>
              <w:t>956,196.77</w:t>
            </w:r>
          </w:p>
        </w:tc>
        <w:tc>
          <w:tcPr>
            <w:tcW w:w="8298" w:type="dxa"/>
            <w:gridSpan w:val="5"/>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公用经费合计:40,018,019.40</w:t>
            </w:r>
          </w:p>
          <w:p>
            <w:pPr>
              <w:jc w:val="center"/>
              <w:rPr>
                <w:rFonts w:ascii="宋体" w:hAnsi="宋体" w:eastAsia="宋体" w:cs="宋体"/>
                <w:color w:val="000000"/>
                <w:sz w:val="22"/>
                <w:szCs w:val="22"/>
              </w:rPr>
            </w:pPr>
            <w:r>
              <w:rPr>
                <w:rFonts w:hint="eastAsia"/>
                <w:color w:val="000000"/>
                <w:sz w:val="22"/>
                <w:szCs w:val="22"/>
              </w:rPr>
              <w:t>40,018,019.40</w:t>
            </w:r>
          </w:p>
          <w:p>
            <w:pPr>
              <w:jc w:val="center"/>
              <w:rPr>
                <w:rFonts w:ascii="宋体" w:hAnsi="宋体" w:eastAsia="宋体" w:cs="宋体"/>
                <w:color w:val="000000"/>
                <w:sz w:val="18"/>
                <w:szCs w:val="18"/>
              </w:rPr>
            </w:pPr>
          </w:p>
          <w:p>
            <w:pPr>
              <w:jc w:val="center"/>
              <w:rPr>
                <w:rFonts w:ascii="宋体" w:hAnsi="宋体" w:eastAsia="宋体" w:cs="宋体"/>
                <w:color w:val="000000"/>
                <w:sz w:val="22"/>
                <w:szCs w:val="22"/>
              </w:rPr>
            </w:pPr>
            <w:r>
              <w:rPr>
                <w:rFonts w:hint="eastAsia"/>
                <w:color w:val="000000"/>
                <w:sz w:val="22"/>
                <w:szCs w:val="22"/>
              </w:rPr>
              <w:t>40,018,019.40</w:t>
            </w:r>
          </w:p>
          <w:p>
            <w:pPr>
              <w:jc w:val="center"/>
              <w:rPr>
                <w:rFonts w:ascii="宋体" w:hAnsi="宋体" w:eastAsia="宋体" w:cs="宋体"/>
                <w:color w:val="000000"/>
                <w:sz w:val="18"/>
                <w:szCs w:val="18"/>
              </w:rPr>
            </w:pPr>
          </w:p>
        </w:tc>
        <w:tc>
          <w:tcPr>
            <w:tcW w:w="104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8"/>
                <w:szCs w:val="18"/>
              </w:rPr>
            </w:pPr>
          </w:p>
        </w:tc>
      </w:tr>
      <w:tr>
        <w:tblPrEx>
          <w:tblCellMar>
            <w:top w:w="0" w:type="dxa"/>
            <w:left w:w="0" w:type="dxa"/>
            <w:bottom w:w="0" w:type="dxa"/>
            <w:right w:w="0" w:type="dxa"/>
          </w:tblCellMar>
        </w:tblPrEx>
        <w:trPr>
          <w:trHeight w:val="283" w:hRule="exact"/>
        </w:trPr>
        <w:tc>
          <w:tcPr>
            <w:tcW w:w="339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       计</w:t>
            </w:r>
          </w:p>
        </w:tc>
        <w:tc>
          <w:tcPr>
            <w:tcW w:w="10515" w:type="dxa"/>
            <w:gridSpan w:val="7"/>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宋体" w:hAnsi="宋体" w:eastAsia="宋体" w:cs="宋体"/>
                <w:color w:val="000000"/>
                <w:sz w:val="22"/>
                <w:szCs w:val="22"/>
              </w:rPr>
            </w:pPr>
            <w:r>
              <w:rPr>
                <w:rFonts w:hint="eastAsia"/>
                <w:color w:val="000000"/>
                <w:sz w:val="22"/>
                <w:szCs w:val="22"/>
              </w:rPr>
              <w:t>40,974,216.17</w:t>
            </w:r>
          </w:p>
          <w:p>
            <w:pPr>
              <w:rPr>
                <w:rFonts w:ascii="Arial" w:hAnsi="Arial" w:cs="Arial"/>
                <w:sz w:val="18"/>
                <w:szCs w:val="18"/>
              </w:rPr>
            </w:pPr>
          </w:p>
        </w:tc>
      </w:tr>
      <w:tr>
        <w:tblPrEx>
          <w:tblCellMar>
            <w:top w:w="0" w:type="dxa"/>
            <w:left w:w="0" w:type="dxa"/>
            <w:bottom w:w="0" w:type="dxa"/>
            <w:right w:w="0" w:type="dxa"/>
          </w:tblCellMar>
        </w:tblPrEx>
        <w:trPr>
          <w:trHeight w:val="455" w:hRule="exact"/>
        </w:trPr>
        <w:tc>
          <w:tcPr>
            <w:tcW w:w="13910" w:type="dxa"/>
            <w:gridSpan w:val="9"/>
            <w:tcBorders>
              <w:top w:val="single" w:color="auto" w:sz="4" w:space="0"/>
              <w:left w:val="nil"/>
              <w:bottom w:val="nil"/>
              <w:right w:val="nil"/>
            </w:tcBorders>
            <w:shd w:val="clear" w:color="auto" w:fill="auto"/>
            <w:tcMar>
              <w:top w:w="12" w:type="dxa"/>
              <w:left w:w="12" w:type="dxa"/>
              <w:right w:w="12" w:type="dxa"/>
            </w:tcMar>
          </w:tcPr>
          <w:p>
            <w:pPr>
              <w:spacing w:line="400" w:lineRule="exact"/>
              <w:rPr>
                <w:sz w:val="18"/>
                <w:szCs w:val="18"/>
              </w:rPr>
            </w:pPr>
            <w:r>
              <w:rPr>
                <w:rFonts w:hint="eastAsia" w:ascii="宋体" w:hAnsi="宋体" w:cs="Arial"/>
                <w:color w:val="000000"/>
                <w:kern w:val="0"/>
                <w:sz w:val="18"/>
                <w:szCs w:val="18"/>
              </w:rPr>
              <w:t>注：本表反映部门本年度一般公共预算财政拨款基本支出明细情况，数据取自财决08-1表</w:t>
            </w:r>
          </w:p>
          <w:p>
            <w:pPr>
              <w:rPr>
                <w:rFonts w:ascii="Arial" w:hAnsi="Arial" w:cs="Arial"/>
                <w:sz w:val="18"/>
                <w:szCs w:val="18"/>
              </w:rPr>
            </w:pPr>
          </w:p>
        </w:tc>
      </w:tr>
    </w:tbl>
    <w:p>
      <w:pPr>
        <w:tabs>
          <w:tab w:val="left" w:pos="1237"/>
        </w:tabs>
        <w:jc w:val="left"/>
      </w:pPr>
      <w:r>
        <w:rPr>
          <w:rFonts w:hint="eastAsia"/>
        </w:rPr>
        <w:tab/>
      </w:r>
      <w:r>
        <w:rPr>
          <w:rFonts w:hint="eastAsia"/>
        </w:rPr>
        <w:t>注：本表反映部门本年度一般公共预算财政拨款基本支出情况，按经济分类填列到款级科目，数据取自财决08</w:t>
      </w:r>
    </w:p>
    <w:tbl>
      <w:tblPr>
        <w:tblStyle w:val="6"/>
        <w:tblW w:w="0" w:type="auto"/>
        <w:jc w:val="center"/>
        <w:tblLayout w:type="autofit"/>
        <w:tblCellMar>
          <w:top w:w="0" w:type="dxa"/>
          <w:left w:w="108" w:type="dxa"/>
          <w:bottom w:w="0" w:type="dxa"/>
          <w:right w:w="108" w:type="dxa"/>
        </w:tblCellMar>
      </w:tblPr>
      <w:tblGrid>
        <w:gridCol w:w="533"/>
        <w:gridCol w:w="1921"/>
        <w:gridCol w:w="645"/>
        <w:gridCol w:w="1690"/>
        <w:gridCol w:w="1690"/>
        <w:gridCol w:w="1272"/>
        <w:gridCol w:w="645"/>
        <w:gridCol w:w="1921"/>
        <w:gridCol w:w="645"/>
        <w:gridCol w:w="1690"/>
        <w:gridCol w:w="1690"/>
        <w:gridCol w:w="1272"/>
      </w:tblGrid>
      <w:tr>
        <w:tblPrEx>
          <w:tblCellMar>
            <w:top w:w="0" w:type="dxa"/>
            <w:left w:w="108" w:type="dxa"/>
            <w:bottom w:w="0" w:type="dxa"/>
            <w:right w:w="108" w:type="dxa"/>
          </w:tblCellMar>
        </w:tblPrEx>
        <w:trPr>
          <w:trHeight w:val="1215" w:hRule="atLeast"/>
          <w:jc w:val="center"/>
        </w:trPr>
        <w:tc>
          <w:tcPr>
            <w:tcW w:w="15506" w:type="dxa"/>
            <w:gridSpan w:val="12"/>
            <w:tcBorders>
              <w:top w:val="nil"/>
              <w:left w:val="nil"/>
              <w:bottom w:val="nil"/>
              <w:right w:val="nil"/>
            </w:tcBorders>
            <w:shd w:val="clear" w:color="auto" w:fill="auto"/>
            <w:vAlign w:val="bottom"/>
          </w:tcPr>
          <w:p>
            <w:pPr>
              <w:widowControl/>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r>
              <w:rPr>
                <w:rFonts w:hint="eastAsia" w:ascii="宋体" w:hAnsi="宋体" w:cs="Arial"/>
                <w:b/>
                <w:bCs/>
                <w:color w:val="000000"/>
                <w:kern w:val="0"/>
                <w:sz w:val="36"/>
                <w:szCs w:val="36"/>
              </w:rPr>
              <w:t>一般公共预算财政拨款“三公”经费支出决算表</w:t>
            </w:r>
          </w:p>
          <w:p>
            <w:pPr>
              <w:widowControl/>
              <w:rPr>
                <w:rFonts w:ascii="宋体" w:hAnsi="宋体" w:cs="Arial"/>
                <w:bCs/>
                <w:color w:val="000000"/>
                <w:kern w:val="0"/>
                <w:szCs w:val="21"/>
              </w:rPr>
            </w:pPr>
            <w:r>
              <w:rPr>
                <w:rFonts w:hint="eastAsia" w:ascii="宋体" w:hAnsi="宋体" w:cs="Arial"/>
                <w:bCs/>
                <w:color w:val="000000"/>
                <w:kern w:val="0"/>
                <w:sz w:val="36"/>
                <w:szCs w:val="36"/>
              </w:rPr>
              <w:t xml:space="preserve">                                                                       </w:t>
            </w:r>
            <w:r>
              <w:rPr>
                <w:rFonts w:hint="eastAsia" w:ascii="宋体" w:hAnsi="宋体" w:cs="Arial"/>
                <w:bCs/>
                <w:color w:val="000000"/>
                <w:kern w:val="0"/>
                <w:szCs w:val="21"/>
              </w:rPr>
              <w:t xml:space="preserve"> 财决07表</w:t>
            </w:r>
          </w:p>
          <w:p>
            <w:pPr>
              <w:widowControl/>
              <w:rPr>
                <w:rFonts w:ascii="宋体" w:hAnsi="宋体" w:cs="Arial"/>
                <w:color w:val="000000"/>
                <w:kern w:val="0"/>
                <w:szCs w:val="21"/>
              </w:rPr>
            </w:pPr>
            <w:r>
              <w:rPr>
                <w:rFonts w:hint="eastAsia" w:ascii="宋体" w:hAnsi="宋体" w:cs="Arial"/>
                <w:bCs/>
                <w:color w:val="000000"/>
                <w:kern w:val="0"/>
                <w:szCs w:val="21"/>
              </w:rPr>
              <w:t>公开单位:宁夏回族自治区固原市原州区土地房屋征收办公室                  2022年度                                           金额单位:元</w:t>
            </w:r>
          </w:p>
        </w:tc>
      </w:tr>
      <w:tr>
        <w:tblPrEx>
          <w:tblCellMar>
            <w:top w:w="0" w:type="dxa"/>
            <w:left w:w="108" w:type="dxa"/>
            <w:bottom w:w="0" w:type="dxa"/>
            <w:right w:w="108" w:type="dxa"/>
          </w:tblCellMar>
        </w:tblPrEx>
        <w:trPr>
          <w:trHeight w:val="510" w:hRule="atLeast"/>
          <w:jc w:val="center"/>
        </w:trPr>
        <w:tc>
          <w:tcPr>
            <w:tcW w:w="761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2022年度预算数</w:t>
            </w:r>
          </w:p>
        </w:tc>
        <w:tc>
          <w:tcPr>
            <w:tcW w:w="0" w:type="auto"/>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2022年度决算数</w:t>
            </w:r>
          </w:p>
        </w:tc>
      </w:tr>
      <w:tr>
        <w:tblPrEx>
          <w:tblCellMar>
            <w:top w:w="0" w:type="dxa"/>
            <w:left w:w="108" w:type="dxa"/>
            <w:bottom w:w="0" w:type="dxa"/>
            <w:right w:w="108" w:type="dxa"/>
          </w:tblCellMar>
        </w:tblPrEx>
        <w:trPr>
          <w:trHeight w:val="570" w:hRule="atLeast"/>
          <w:jc w:val="center"/>
        </w:trPr>
        <w:tc>
          <w:tcPr>
            <w:tcW w:w="53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0" w:type="auto"/>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0" w:type="auto"/>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53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0" w:type="auto"/>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0" w:type="auto"/>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5506" w:type="dxa"/>
            <w:gridSpan w:val="12"/>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注：2022年度预算数为“三公”经费全年预算数，反映按规定程序调整后的预算数；决算数是包括当年一般公共预算财政拨款和以前年度结转结余资金安排的实际支出，决算数据取自F03表。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2800" w:type="dxa"/>
        <w:jc w:val="center"/>
        <w:tblLayout w:type="fixed"/>
        <w:tblCellMar>
          <w:top w:w="0" w:type="dxa"/>
          <w:left w:w="108" w:type="dxa"/>
          <w:bottom w:w="0" w:type="dxa"/>
          <w:right w:w="108" w:type="dxa"/>
        </w:tblCellMar>
      </w:tblPr>
      <w:tblGrid>
        <w:gridCol w:w="420"/>
        <w:gridCol w:w="420"/>
        <w:gridCol w:w="515"/>
        <w:gridCol w:w="2024"/>
        <w:gridCol w:w="1701"/>
        <w:gridCol w:w="853"/>
        <w:gridCol w:w="1699"/>
        <w:gridCol w:w="1343"/>
        <w:gridCol w:w="1775"/>
        <w:gridCol w:w="2050"/>
      </w:tblGrid>
      <w:tr>
        <w:tblPrEx>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b/>
                <w:bCs/>
                <w:color w:val="000000"/>
                <w:kern w:val="0"/>
                <w:sz w:val="36"/>
                <w:szCs w:val="36"/>
              </w:rPr>
            </w:pPr>
            <w:r>
              <w:rPr>
                <w:rFonts w:hint="eastAsia" w:ascii="宋体" w:hAnsi="宋体" w:cs="Arial"/>
                <w:b/>
                <w:bCs/>
                <w:color w:val="000000"/>
                <w:kern w:val="0"/>
                <w:sz w:val="36"/>
                <w:szCs w:val="36"/>
              </w:rPr>
              <w:t>政府性基金预算财政拨款收入支出决算表</w:t>
            </w:r>
          </w:p>
          <w:p>
            <w:pPr>
              <w:widowControl/>
              <w:jc w:val="center"/>
              <w:rPr>
                <w:rFonts w:ascii="宋体" w:hAnsi="宋体" w:cs="Arial"/>
                <w:bCs/>
                <w:color w:val="000000"/>
                <w:kern w:val="0"/>
                <w:szCs w:val="21"/>
              </w:rPr>
            </w:pPr>
            <w:r>
              <w:rPr>
                <w:rFonts w:hint="eastAsia" w:ascii="宋体" w:hAnsi="宋体" w:cs="Arial"/>
                <w:b/>
                <w:bCs/>
                <w:color w:val="000000"/>
                <w:kern w:val="0"/>
                <w:sz w:val="36"/>
                <w:szCs w:val="36"/>
              </w:rPr>
              <w:t xml:space="preserve">  </w:t>
            </w:r>
            <w:r>
              <w:rPr>
                <w:rFonts w:hint="eastAsia" w:ascii="宋体" w:hAnsi="宋体" w:cs="Arial"/>
                <w:b/>
                <w:bCs/>
                <w:color w:val="000000"/>
                <w:kern w:val="0"/>
                <w:szCs w:val="21"/>
              </w:rPr>
              <w:t xml:space="preserve">                                                                                 </w:t>
            </w:r>
            <w:r>
              <w:rPr>
                <w:rFonts w:hint="eastAsia" w:ascii="宋体" w:hAnsi="宋体" w:cs="Arial"/>
                <w:bCs/>
                <w:color w:val="000000"/>
                <w:kern w:val="0"/>
                <w:szCs w:val="21"/>
              </w:rPr>
              <w:t xml:space="preserve">  财决08表</w:t>
            </w:r>
          </w:p>
          <w:p>
            <w:pPr>
              <w:widowControl/>
              <w:rPr>
                <w:rFonts w:ascii="宋体" w:hAnsi="宋体" w:cs="Arial"/>
                <w:color w:val="000000"/>
                <w:kern w:val="0"/>
                <w:szCs w:val="21"/>
              </w:rPr>
            </w:pPr>
            <w:r>
              <w:rPr>
                <w:rFonts w:hint="eastAsia" w:ascii="宋体" w:hAnsi="宋体" w:cs="Arial"/>
                <w:bCs/>
                <w:color w:val="000000"/>
                <w:kern w:val="0"/>
                <w:szCs w:val="21"/>
              </w:rPr>
              <w:t>公开部门:宁夏回族自治区固原市原州区土地房屋征收办公室             2022年度                              金额单位:元</w:t>
            </w:r>
          </w:p>
        </w:tc>
      </w:tr>
      <w:tr>
        <w:tblPrEx>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08" w:hRule="atLeast"/>
          <w:jc w:val="center"/>
        </w:trPr>
        <w:tc>
          <w:tcPr>
            <w:tcW w:w="337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853"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8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0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0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853"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6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3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7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0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0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53"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0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0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53"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0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024"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85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7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0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2024"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24,345,391.00　</w:t>
            </w:r>
          </w:p>
        </w:tc>
        <w:tc>
          <w:tcPr>
            <w:tcW w:w="85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99" w:type="dxa"/>
            <w:tcBorders>
              <w:top w:val="nil"/>
              <w:left w:val="nil"/>
              <w:bottom w:val="single" w:color="auto" w:sz="4" w:space="0"/>
              <w:right w:val="single" w:color="auto"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24,345,391.00　</w:t>
            </w:r>
          </w:p>
        </w:tc>
        <w:tc>
          <w:tcPr>
            <w:tcW w:w="13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75" w:type="dxa"/>
            <w:tcBorders>
              <w:top w:val="nil"/>
              <w:left w:val="nil"/>
              <w:bottom w:val="single" w:color="auto" w:sz="4" w:space="0"/>
              <w:right w:val="single" w:color="auto"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24,345,391.00　</w:t>
            </w:r>
          </w:p>
        </w:tc>
        <w:tc>
          <w:tcPr>
            <w:tcW w:w="20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212</w:t>
            </w:r>
          </w:p>
        </w:tc>
        <w:tc>
          <w:tcPr>
            <w:tcW w:w="20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城乡社区支出</w:t>
            </w:r>
          </w:p>
        </w:tc>
        <w:tc>
          <w:tcPr>
            <w:tcW w:w="1701" w:type="dxa"/>
            <w:tcBorders>
              <w:top w:val="nil"/>
              <w:left w:val="nil"/>
              <w:bottom w:val="single" w:color="auto" w:sz="4" w:space="0"/>
              <w:right w:val="single" w:color="auto"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24,345,391.00　</w:t>
            </w:r>
          </w:p>
        </w:tc>
        <w:tc>
          <w:tcPr>
            <w:tcW w:w="85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99" w:type="dxa"/>
            <w:tcBorders>
              <w:top w:val="nil"/>
              <w:left w:val="nil"/>
              <w:bottom w:val="single" w:color="auto" w:sz="4" w:space="0"/>
              <w:right w:val="single" w:color="auto"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24,345,391.00　</w:t>
            </w:r>
          </w:p>
        </w:tc>
        <w:tc>
          <w:tcPr>
            <w:tcW w:w="13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75" w:type="dxa"/>
            <w:tcBorders>
              <w:top w:val="nil"/>
              <w:left w:val="nil"/>
              <w:bottom w:val="single" w:color="auto" w:sz="4" w:space="0"/>
              <w:right w:val="single" w:color="auto"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24,345,391.00　</w:t>
            </w:r>
          </w:p>
        </w:tc>
        <w:tc>
          <w:tcPr>
            <w:tcW w:w="20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21208</w:t>
            </w:r>
          </w:p>
        </w:tc>
        <w:tc>
          <w:tcPr>
            <w:tcW w:w="20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国有土地使用权出让收入安排的支出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24,345,391.00　　</w:t>
            </w:r>
          </w:p>
        </w:tc>
        <w:tc>
          <w:tcPr>
            <w:tcW w:w="85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99" w:type="dxa"/>
            <w:tcBorders>
              <w:top w:val="nil"/>
              <w:left w:val="nil"/>
              <w:bottom w:val="single" w:color="auto" w:sz="4" w:space="0"/>
              <w:right w:val="single" w:color="auto"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24,345,391.00　</w:t>
            </w:r>
          </w:p>
        </w:tc>
        <w:tc>
          <w:tcPr>
            <w:tcW w:w="13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75" w:type="dxa"/>
            <w:tcBorders>
              <w:top w:val="nil"/>
              <w:left w:val="nil"/>
              <w:bottom w:val="single" w:color="auto" w:sz="4" w:space="0"/>
              <w:right w:val="single" w:color="auto" w:sz="4" w:space="0"/>
            </w:tcBorders>
            <w:shd w:val="clear" w:color="auto" w:fill="auto"/>
            <w:vAlign w:val="center"/>
          </w:tcPr>
          <w:p>
            <w:pPr>
              <w:widowControl/>
              <w:rPr>
                <w:rFonts w:ascii="宋体" w:hAnsi="宋体" w:cs="Arial"/>
                <w:color w:val="000000"/>
                <w:kern w:val="0"/>
                <w:sz w:val="22"/>
                <w:szCs w:val="22"/>
              </w:rPr>
            </w:pPr>
            <w:r>
              <w:rPr>
                <w:rFonts w:hint="eastAsia" w:ascii="宋体" w:hAnsi="宋体" w:cs="Arial"/>
                <w:color w:val="000000"/>
                <w:kern w:val="0"/>
                <w:sz w:val="22"/>
                <w:szCs w:val="22"/>
              </w:rPr>
              <w:t>24,345,391.00　</w:t>
            </w:r>
          </w:p>
        </w:tc>
        <w:tc>
          <w:tcPr>
            <w:tcW w:w="20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2120801</w:t>
            </w:r>
          </w:p>
        </w:tc>
        <w:tc>
          <w:tcPr>
            <w:tcW w:w="20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征地和拆迁补偿支出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15,000,000.00　</w:t>
            </w:r>
          </w:p>
        </w:tc>
        <w:tc>
          <w:tcPr>
            <w:tcW w:w="85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9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15,000,000.00　</w:t>
            </w:r>
          </w:p>
        </w:tc>
        <w:tc>
          <w:tcPr>
            <w:tcW w:w="13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75" w:type="dxa"/>
            <w:tcBorders>
              <w:top w:val="nil"/>
              <w:left w:val="nil"/>
              <w:bottom w:val="single" w:color="auto" w:sz="4" w:space="0"/>
              <w:right w:val="single" w:color="auto" w:sz="4" w:space="0"/>
            </w:tcBorders>
            <w:shd w:val="clear" w:color="auto" w:fill="auto"/>
            <w:vAlign w:val="center"/>
          </w:tcPr>
          <w:p>
            <w:pPr>
              <w:widowControl/>
              <w:ind w:right="110"/>
              <w:jc w:val="right"/>
              <w:rPr>
                <w:rFonts w:ascii="宋体" w:hAnsi="宋体" w:cs="Arial"/>
                <w:color w:val="000000"/>
                <w:kern w:val="0"/>
                <w:sz w:val="22"/>
                <w:szCs w:val="22"/>
              </w:rPr>
            </w:pPr>
            <w:r>
              <w:rPr>
                <w:rFonts w:hint="eastAsia" w:ascii="宋体" w:hAnsi="宋体" w:cs="Arial"/>
                <w:color w:val="000000"/>
                <w:kern w:val="0"/>
                <w:sz w:val="22"/>
                <w:szCs w:val="22"/>
              </w:rPr>
              <w:t>15,000,000.00　</w:t>
            </w:r>
          </w:p>
        </w:tc>
        <w:tc>
          <w:tcPr>
            <w:tcW w:w="20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2120899</w:t>
            </w:r>
          </w:p>
        </w:tc>
        <w:tc>
          <w:tcPr>
            <w:tcW w:w="20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其他国有土地使用权出让收入安排的支出</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9,345,391.00　</w:t>
            </w:r>
          </w:p>
        </w:tc>
        <w:tc>
          <w:tcPr>
            <w:tcW w:w="85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9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9,345,391.00　</w:t>
            </w:r>
          </w:p>
        </w:tc>
        <w:tc>
          <w:tcPr>
            <w:tcW w:w="13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9,345,391.00　</w:t>
            </w:r>
          </w:p>
        </w:tc>
        <w:tc>
          <w:tcPr>
            <w:tcW w:w="20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2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9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5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pPr w:leftFromText="180" w:rightFromText="180" w:vertAnchor="text" w:horzAnchor="page" w:tblpX="3634" w:tblpY="1846"/>
        <w:tblOverlap w:val="never"/>
        <w:tblW w:w="9860" w:type="dxa"/>
        <w:tblInd w:w="0" w:type="dxa"/>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CellMar>
            <w:top w:w="0" w:type="dxa"/>
            <w:left w:w="108" w:type="dxa"/>
            <w:bottom w:w="0" w:type="dxa"/>
            <w:right w:w="108" w:type="dxa"/>
          </w:tblCellMar>
        </w:tblPrEx>
        <w:trPr>
          <w:trHeight w:val="308" w:hRule="atLeast"/>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ind w:firstLine="990" w:firstLineChars="450"/>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21"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注：本表反映部门本年度国有资本预算财政拨款支出情况，数据取自财决11表</w:t>
            </w:r>
          </w:p>
        </w:tc>
      </w:tr>
    </w:tbl>
    <w:p>
      <w:pPr>
        <w:spacing w:line="580" w:lineRule="exact"/>
        <w:jc w:val="center"/>
        <w:rPr>
          <w:b/>
          <w:sz w:val="28"/>
          <w:szCs w:val="28"/>
        </w:rPr>
      </w:pPr>
      <w:r>
        <w:rPr>
          <w:rFonts w:hint="eastAsia"/>
          <w:b/>
          <w:sz w:val="28"/>
          <w:szCs w:val="28"/>
        </w:rPr>
        <w:t>国有资本经营预算财政拨款支出决算表</w:t>
      </w:r>
    </w:p>
    <w:p>
      <w:pPr>
        <w:jc w:val="center"/>
        <w:rPr>
          <w:szCs w:val="21"/>
        </w:rPr>
      </w:pPr>
      <w:r>
        <w:rPr>
          <w:rFonts w:hint="eastAsia"/>
          <w:szCs w:val="21"/>
        </w:rPr>
        <w:t xml:space="preserve">                                                                              </w:t>
      </w:r>
    </w:p>
    <w:p>
      <w:pPr>
        <w:jc w:val="center"/>
        <w:rPr>
          <w:szCs w:val="21"/>
        </w:rPr>
      </w:pPr>
      <w:r>
        <w:rPr>
          <w:rFonts w:hint="eastAsia"/>
          <w:szCs w:val="21"/>
        </w:rPr>
        <w:t xml:space="preserve">                                                                               财决09表</w:t>
      </w:r>
    </w:p>
    <w:p>
      <w:pPr>
        <w:ind w:firstLine="2730" w:firstLineChars="1300"/>
        <w:rPr>
          <w:szCs w:val="21"/>
        </w:rPr>
        <w:sectPr>
          <w:pgSz w:w="16838" w:h="11906" w:orient="landscape"/>
          <w:pgMar w:top="312" w:right="720" w:bottom="227" w:left="720" w:header="851" w:footer="992" w:gutter="0"/>
          <w:cols w:space="0" w:num="1"/>
          <w:docGrid w:type="linesAndChars" w:linePitch="321" w:charSpace="0"/>
        </w:sectPr>
      </w:pPr>
      <w:r>
        <w:rPr>
          <w:rFonts w:hint="eastAsia"/>
          <w:szCs w:val="21"/>
        </w:rPr>
        <w:t>公开部门:宁夏回族自治区固原市原州区土地房屋征收办公室         2022年度            金额单位:元</w:t>
      </w:r>
    </w:p>
    <w:p>
      <w:pPr>
        <w:spacing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2022年度部门决算情况说明</w:t>
      </w:r>
    </w:p>
    <w:p>
      <w:pPr>
        <w:spacing w:line="540" w:lineRule="exact"/>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一、收入支出决算总体情况说明</w:t>
      </w:r>
    </w:p>
    <w:p>
      <w:pPr>
        <w:rPr>
          <w:rFonts w:ascii="宋体" w:hAnsi="宋体" w:eastAsia="宋体" w:cs="宋体"/>
          <w:color w:val="000000"/>
          <w:kern w:val="0"/>
          <w:sz w:val="22"/>
          <w:szCs w:val="22"/>
        </w:rPr>
      </w:pPr>
      <w:r>
        <w:rPr>
          <w:rFonts w:hint="eastAsia" w:ascii="仿宋_GB2312" w:hAnsi="宋体" w:eastAsia="仿宋_GB2312"/>
          <w:kern w:val="0"/>
          <w:sz w:val="32"/>
          <w:szCs w:val="32"/>
        </w:rPr>
        <w:t>2022</w:t>
      </w:r>
      <w:r>
        <w:rPr>
          <w:rFonts w:ascii="仿宋_GB2312" w:hAnsi="宋体" w:eastAsia="仿宋_GB2312"/>
          <w:kern w:val="0"/>
          <w:sz w:val="32"/>
          <w:szCs w:val="32"/>
        </w:rPr>
        <w:t>年度收</w:t>
      </w:r>
      <w:r>
        <w:rPr>
          <w:rFonts w:hint="eastAsia" w:ascii="仿宋_GB2312" w:hAnsi="宋体" w:eastAsia="仿宋_GB2312"/>
          <w:kern w:val="0"/>
          <w:sz w:val="32"/>
          <w:szCs w:val="32"/>
        </w:rPr>
        <w:t>入总计:15,625,358.72元,支出</w:t>
      </w:r>
      <w:r>
        <w:rPr>
          <w:rFonts w:ascii="仿宋_GB2312" w:hAnsi="宋体" w:eastAsia="仿宋_GB2312"/>
          <w:kern w:val="0"/>
          <w:sz w:val="32"/>
          <w:szCs w:val="32"/>
        </w:rPr>
        <w:t>总计</w:t>
      </w:r>
      <w:r>
        <w:rPr>
          <w:rFonts w:hint="eastAsia" w:ascii="仿宋_GB2312" w:hAnsi="宋体" w:eastAsia="仿宋_GB2312"/>
          <w:kern w:val="0"/>
          <w:sz w:val="32"/>
          <w:szCs w:val="32"/>
        </w:rPr>
        <w:t>:41,316,090.04</w:t>
      </w:r>
      <w:r>
        <w:rPr>
          <w:rFonts w:ascii="仿宋_GB2312" w:hAnsi="宋体" w:eastAsia="仿宋_GB2312"/>
          <w:kern w:val="0"/>
          <w:sz w:val="32"/>
          <w:szCs w:val="32"/>
        </w:rPr>
        <w:t>元。与20</w:t>
      </w:r>
      <w:r>
        <w:rPr>
          <w:rFonts w:hint="eastAsia" w:ascii="仿宋_GB2312" w:hAnsi="宋体" w:eastAsia="仿宋_GB2312"/>
          <w:kern w:val="0"/>
          <w:sz w:val="32"/>
          <w:szCs w:val="32"/>
        </w:rPr>
        <w:t>21</w:t>
      </w:r>
      <w:r>
        <w:rPr>
          <w:rFonts w:ascii="仿宋_GB2312" w:hAnsi="宋体" w:eastAsia="仿宋_GB2312"/>
          <w:kern w:val="0"/>
          <w:sz w:val="32"/>
          <w:szCs w:val="32"/>
        </w:rPr>
        <w:t>年</w:t>
      </w:r>
      <w:r>
        <w:rPr>
          <w:rFonts w:hint="eastAsia" w:ascii="仿宋_GB2312" w:hAnsi="宋体" w:eastAsia="仿宋_GB2312"/>
          <w:kern w:val="0"/>
          <w:sz w:val="32"/>
          <w:szCs w:val="32"/>
        </w:rPr>
        <w:t>度</w:t>
      </w:r>
      <w:r>
        <w:rPr>
          <w:rFonts w:ascii="仿宋_GB2312" w:hAnsi="宋体" w:eastAsia="仿宋_GB2312"/>
          <w:kern w:val="0"/>
          <w:sz w:val="32"/>
          <w:szCs w:val="32"/>
        </w:rPr>
        <w:t>相比，收</w:t>
      </w:r>
      <w:r>
        <w:rPr>
          <w:rFonts w:hint="eastAsia" w:ascii="仿宋_GB2312" w:hAnsi="宋体" w:eastAsia="仿宋_GB2312"/>
          <w:kern w:val="0"/>
          <w:sz w:val="32"/>
          <w:szCs w:val="32"/>
        </w:rPr>
        <w:t>入减少68,619,612.11 元。</w:t>
      </w:r>
      <w:r>
        <w:rPr>
          <w:rFonts w:ascii="仿宋_GB2312" w:hAnsi="宋体" w:eastAsia="仿宋_GB2312"/>
          <w:kern w:val="0"/>
          <w:sz w:val="32"/>
          <w:szCs w:val="32"/>
        </w:rPr>
        <w:t>支</w:t>
      </w:r>
      <w:r>
        <w:rPr>
          <w:rFonts w:hint="eastAsia" w:ascii="仿宋_GB2312" w:hAnsi="宋体" w:eastAsia="仿宋_GB2312"/>
          <w:kern w:val="0"/>
          <w:sz w:val="32"/>
          <w:szCs w:val="32"/>
        </w:rPr>
        <w:t>出</w:t>
      </w:r>
      <w:r>
        <w:rPr>
          <w:rFonts w:ascii="仿宋_GB2312" w:hAnsi="宋体" w:eastAsia="仿宋_GB2312"/>
          <w:kern w:val="0"/>
          <w:sz w:val="32"/>
          <w:szCs w:val="32"/>
        </w:rPr>
        <w:t>总计</w:t>
      </w:r>
      <w:r>
        <w:rPr>
          <w:rFonts w:hint="eastAsia" w:ascii="仿宋_GB2312" w:hAnsi="宋体" w:eastAsia="仿宋_GB2312"/>
          <w:kern w:val="0"/>
          <w:sz w:val="32"/>
          <w:szCs w:val="32"/>
        </w:rPr>
        <w:t xml:space="preserve">减少114,189,407.81 </w:t>
      </w:r>
      <w:r>
        <w:rPr>
          <w:rFonts w:ascii="仿宋_GB2312" w:hAnsi="宋体" w:eastAsia="仿宋_GB2312"/>
          <w:kern w:val="0"/>
          <w:sz w:val="32"/>
          <w:szCs w:val="32"/>
        </w:rPr>
        <w:t>元，</w:t>
      </w:r>
      <w:r>
        <w:rPr>
          <w:rFonts w:hint="eastAsia" w:ascii="仿宋_GB2312" w:hAnsi="宋体" w:eastAsia="仿宋_GB2312"/>
          <w:kern w:val="0"/>
          <w:sz w:val="32"/>
          <w:szCs w:val="32"/>
        </w:rPr>
        <w:t>下降73.43</w:t>
      </w:r>
      <w:r>
        <w:rPr>
          <w:rFonts w:ascii="仿宋_GB2312" w:hAnsi="宋体" w:eastAsia="仿宋_GB2312"/>
          <w:kern w:val="0"/>
          <w:sz w:val="32"/>
          <w:szCs w:val="32"/>
        </w:rPr>
        <w:t>%</w:t>
      </w:r>
      <w:r>
        <w:rPr>
          <w:rFonts w:hint="eastAsia" w:ascii="仿宋_GB2312" w:hAnsi="宋体" w:eastAsia="仿宋_GB2312"/>
          <w:kern w:val="0"/>
          <w:sz w:val="32"/>
          <w:szCs w:val="32"/>
        </w:rPr>
        <w:t>，主要原因是减少了安置补偿款</w:t>
      </w:r>
      <w:r>
        <w:rPr>
          <w:rFonts w:ascii="仿宋_GB2312" w:hAnsi="宋体" w:eastAsia="仿宋_GB2312"/>
          <w:kern w:val="0"/>
          <w:sz w:val="32"/>
          <w:szCs w:val="32"/>
        </w:rPr>
        <w:t>。</w:t>
      </w:r>
    </w:p>
    <w:p>
      <w:pPr>
        <w:spacing w:line="540" w:lineRule="exact"/>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 xml:space="preserve"> 二、收入决算情况说明</w:t>
      </w:r>
    </w:p>
    <w:p>
      <w:pPr>
        <w:pStyle w:val="9"/>
        <w:spacing w:line="540" w:lineRule="exact"/>
        <w:ind w:firstLine="745" w:firstLineChars="233"/>
        <w:rPr>
          <w:rFonts w:ascii="仿宋_GB2312" w:hAnsi="宋体" w:eastAsia="仿宋_GB2312" w:cs="Times New Roman"/>
          <w:color w:val="auto"/>
          <w:sz w:val="32"/>
          <w:szCs w:val="32"/>
        </w:rPr>
      </w:pPr>
      <w:r>
        <w:rPr>
          <w:rFonts w:hint="eastAsia" w:ascii="仿宋_GB2312" w:hAnsi="宋体" w:eastAsia="仿宋_GB2312"/>
          <w:sz w:val="32"/>
          <w:szCs w:val="32"/>
        </w:rPr>
        <w:t>2022</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rPr>
        <w:t>15,625,358.72</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其中：财政拨款收入1,059,726.72元，占6.78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；上级补助收入0元，占0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；附属单位上缴收入0元，占0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；其他收入14,565,632.00元，占93.22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hint="eastAsia" w:ascii="仿宋_GB2312" w:hAnsi="宋体" w:eastAsia="仿宋_GB2312"/>
          <w:kern w:val="0"/>
          <w:sz w:val="32"/>
          <w:szCs w:val="32"/>
        </w:rPr>
        <w:t>2022</w:t>
      </w:r>
      <w:r>
        <w:rPr>
          <w:rFonts w:ascii="仿宋_GB2312" w:hAnsi="宋体" w:eastAsia="仿宋_GB2312"/>
          <w:kern w:val="0"/>
          <w:sz w:val="32"/>
          <w:szCs w:val="32"/>
        </w:rPr>
        <w:t>年度支出合计</w:t>
      </w:r>
      <w:r>
        <w:rPr>
          <w:rFonts w:hint="eastAsia" w:ascii="仿宋_GB2312" w:hAnsi="宋体" w:eastAsia="仿宋_GB2312"/>
          <w:kern w:val="0"/>
          <w:sz w:val="32"/>
          <w:szCs w:val="32"/>
        </w:rPr>
        <w:t>41,316,090.04</w:t>
      </w:r>
      <w:r>
        <w:rPr>
          <w:rFonts w:ascii="仿宋_GB2312" w:hAnsi="宋体" w:eastAsia="仿宋_GB2312"/>
          <w:kern w:val="0"/>
          <w:sz w:val="32"/>
          <w:szCs w:val="32"/>
        </w:rPr>
        <w:t>元，其中：基本支出</w:t>
      </w:r>
      <w:r>
        <w:rPr>
          <w:rFonts w:hint="eastAsia" w:ascii="仿宋_GB2312" w:hAnsi="宋体" w:eastAsia="仿宋_GB2312"/>
          <w:kern w:val="0"/>
          <w:sz w:val="32"/>
          <w:szCs w:val="32"/>
        </w:rPr>
        <w:t>987,679.47</w:t>
      </w:r>
      <w:r>
        <w:rPr>
          <w:rFonts w:ascii="仿宋_GB2312" w:hAnsi="宋体" w:eastAsia="仿宋_GB2312"/>
          <w:kern w:val="0"/>
          <w:sz w:val="32"/>
          <w:szCs w:val="32"/>
        </w:rPr>
        <w:t>元，占</w:t>
      </w:r>
      <w:r>
        <w:rPr>
          <w:rFonts w:hint="eastAsia" w:ascii="仿宋_GB2312" w:hAnsi="宋体" w:eastAsia="仿宋_GB2312"/>
          <w:kern w:val="0"/>
          <w:sz w:val="32"/>
          <w:szCs w:val="32"/>
        </w:rPr>
        <w:t>2.39</w:t>
      </w:r>
      <w:r>
        <w:rPr>
          <w:rFonts w:ascii="仿宋_GB2312" w:hAnsi="宋体" w:eastAsia="仿宋_GB2312"/>
          <w:kern w:val="0"/>
          <w:sz w:val="32"/>
          <w:szCs w:val="32"/>
        </w:rPr>
        <w:t>%；项目支出</w:t>
      </w:r>
      <w:r>
        <w:rPr>
          <w:rFonts w:hint="eastAsia" w:ascii="仿宋_GB2312" w:hAnsi="宋体" w:eastAsia="仿宋_GB2312"/>
          <w:kern w:val="0"/>
          <w:sz w:val="32"/>
          <w:szCs w:val="32"/>
        </w:rPr>
        <w:t>40,328,410.57</w:t>
      </w:r>
      <w:r>
        <w:rPr>
          <w:rFonts w:ascii="仿宋_GB2312" w:hAnsi="宋体" w:eastAsia="仿宋_GB2312"/>
          <w:kern w:val="0"/>
          <w:sz w:val="32"/>
          <w:szCs w:val="32"/>
        </w:rPr>
        <w:t>元，占</w:t>
      </w:r>
      <w:r>
        <w:rPr>
          <w:rFonts w:hint="eastAsia" w:ascii="仿宋_GB2312" w:hAnsi="宋体" w:eastAsia="仿宋_GB2312"/>
          <w:kern w:val="0"/>
          <w:sz w:val="32"/>
          <w:szCs w:val="32"/>
        </w:rPr>
        <w:t>97.61</w:t>
      </w:r>
      <w:r>
        <w:rPr>
          <w:rFonts w:ascii="仿宋_GB2312" w:hAnsi="宋体" w:eastAsia="仿宋_GB2312"/>
          <w:kern w:val="0"/>
          <w:sz w:val="32"/>
          <w:szCs w:val="32"/>
        </w:rPr>
        <w:t>%；</w:t>
      </w:r>
      <w:r>
        <w:rPr>
          <w:rFonts w:hint="eastAsia" w:ascii="仿宋_GB2312" w:hAnsi="宋体" w:eastAsia="仿宋_GB2312"/>
          <w:kern w:val="0"/>
          <w:sz w:val="32"/>
          <w:szCs w:val="32"/>
        </w:rPr>
        <w:t>上缴上级</w:t>
      </w:r>
      <w:r>
        <w:rPr>
          <w:rFonts w:ascii="仿宋_GB2312" w:hAnsi="宋体" w:eastAsia="仿宋_GB2312"/>
          <w:kern w:val="0"/>
          <w:sz w:val="32"/>
          <w:szCs w:val="32"/>
        </w:rPr>
        <w:t>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%；经营支出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r>
        <w:rPr>
          <w:rFonts w:hint="eastAsia" w:ascii="仿宋_GB2312" w:hAnsi="宋体" w:eastAsia="仿宋_GB2312"/>
          <w:kern w:val="0"/>
          <w:sz w:val="32"/>
          <w:szCs w:val="32"/>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四、财政拨款收入支出决算总体情况说明</w:t>
      </w:r>
    </w:p>
    <w:p>
      <w:pPr>
        <w:rPr>
          <w:rFonts w:ascii="仿宋_GB2312" w:hAnsi="宋体" w:eastAsia="仿宋_GB2312"/>
          <w:kern w:val="0"/>
          <w:sz w:val="32"/>
          <w:szCs w:val="32"/>
        </w:rPr>
      </w:pPr>
      <w:r>
        <w:rPr>
          <w:rFonts w:hint="eastAsia" w:ascii="仿宋_GB2312" w:hAnsi="宋体" w:eastAsia="仿宋_GB2312"/>
          <w:kern w:val="0"/>
          <w:sz w:val="32"/>
          <w:szCs w:val="32"/>
        </w:rPr>
        <w:t>2022年度财政拨款</w:t>
      </w:r>
      <w:r>
        <w:rPr>
          <w:rFonts w:ascii="仿宋_GB2312" w:hAnsi="宋体" w:eastAsia="仿宋_GB2312"/>
          <w:kern w:val="0"/>
          <w:sz w:val="32"/>
          <w:szCs w:val="32"/>
        </w:rPr>
        <w:t>收</w:t>
      </w:r>
      <w:r>
        <w:rPr>
          <w:rFonts w:hint="eastAsia" w:ascii="仿宋_GB2312" w:hAnsi="宋体" w:eastAsia="仿宋_GB2312"/>
          <w:kern w:val="0"/>
          <w:sz w:val="32"/>
          <w:szCs w:val="32"/>
        </w:rPr>
        <w:t>入总计:1,059,726.72元,支出</w:t>
      </w:r>
      <w:r>
        <w:rPr>
          <w:rFonts w:ascii="仿宋_GB2312" w:hAnsi="宋体" w:eastAsia="仿宋_GB2312"/>
          <w:kern w:val="0"/>
          <w:sz w:val="32"/>
          <w:szCs w:val="32"/>
        </w:rPr>
        <w:t>总计</w:t>
      </w:r>
      <w:r>
        <w:rPr>
          <w:rFonts w:hint="eastAsia" w:ascii="仿宋_GB2312" w:hAnsi="宋体" w:eastAsia="仿宋_GB2312"/>
          <w:kern w:val="0"/>
          <w:sz w:val="32"/>
          <w:szCs w:val="32"/>
        </w:rPr>
        <w:t>34,495,399.72</w:t>
      </w:r>
      <w:r>
        <w:rPr>
          <w:rFonts w:ascii="仿宋_GB2312" w:hAnsi="宋体" w:eastAsia="仿宋_GB2312"/>
          <w:kern w:val="0"/>
          <w:sz w:val="32"/>
          <w:szCs w:val="32"/>
        </w:rPr>
        <w:t>元。</w:t>
      </w:r>
      <w:r>
        <w:rPr>
          <w:rFonts w:hint="eastAsia" w:ascii="仿宋_GB2312" w:hAnsi="宋体" w:eastAsia="仿宋_GB2312"/>
          <w:kern w:val="0"/>
          <w:sz w:val="32"/>
          <w:szCs w:val="32"/>
        </w:rPr>
        <w:t xml:space="preserve">与2021年度相比，财政拨款收人总计：减少42,824,995.11元，支出总计减少78,601,222.77 </w:t>
      </w:r>
    </w:p>
    <w:p>
      <w:pPr>
        <w:spacing w:line="540" w:lineRule="exact"/>
        <w:outlineLvl w:val="1"/>
        <w:rPr>
          <w:rFonts w:ascii="仿宋_GB2312" w:hAnsi="宋体" w:eastAsia="仿宋_GB2312"/>
          <w:kern w:val="0"/>
          <w:sz w:val="32"/>
          <w:szCs w:val="32"/>
        </w:rPr>
      </w:pPr>
      <w:r>
        <w:rPr>
          <w:rFonts w:hint="eastAsia" w:ascii="仿宋_GB2312" w:hAnsi="宋体" w:eastAsia="仿宋_GB2312"/>
          <w:kern w:val="0"/>
          <w:sz w:val="32"/>
          <w:szCs w:val="32"/>
        </w:rPr>
        <w:t>元，下降77.84</w:t>
      </w:r>
      <w:r>
        <w:rPr>
          <w:rFonts w:ascii="仿宋_GB2312" w:hAnsi="宋体" w:eastAsia="仿宋_GB2312"/>
          <w:kern w:val="0"/>
          <w:sz w:val="32"/>
          <w:szCs w:val="32"/>
        </w:rPr>
        <w:t>%</w:t>
      </w:r>
      <w:r>
        <w:rPr>
          <w:rFonts w:hint="eastAsia" w:ascii="仿宋_GB2312" w:hAnsi="宋体" w:eastAsia="仿宋_GB2312"/>
          <w:kern w:val="0"/>
          <w:sz w:val="32"/>
          <w:szCs w:val="32"/>
        </w:rPr>
        <w:t>，主要原因是减少了安置补偿款</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五、一般公共预算财政拨款支出决算情况说明</w:t>
      </w:r>
    </w:p>
    <w:p>
      <w:pPr>
        <w:rPr>
          <w:rFonts w:ascii="宋体" w:hAnsi="宋体" w:eastAsia="宋体" w:cs="宋体"/>
          <w:color w:val="000000"/>
          <w:kern w:val="0"/>
          <w:sz w:val="22"/>
          <w:szCs w:val="2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2022年度一般公共预算财政拨款支出10,086,462.47元，占本年支出合计的29.29%。与2021年度相比，一般公共预算财政拨款支出减少75,328,004.02 元，下降88.19%，主要原因是减少了项目支出。</w:t>
      </w:r>
    </w:p>
    <w:p>
      <w:pPr>
        <w:spacing w:line="540" w:lineRule="exact"/>
        <w:ind w:firstLine="655" w:firstLineChars="204"/>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2022年度一般公共预算财政拨款支出10,086,462.47元，主要用于以下方面：（按支出功能分类科目说明）如：一般公共服务（类）支出50,000.00元，占0.49%；教育（类）支出0元，占0%；科学技术（类）支出0元，占0%；文化旅游体育与传媒（类）支出0元，占0%；社会保障和就业（类）支出137,628.52元，占1.36%；卫生健康（类）支出31,788.69元，占0.315%；节能环保（类）支出0元，占0%；城乡社区（类）支出9,742,871.04元，占96.59%；资源勘探信息（类）支出0元，占0%；农林水（类）支出0元，占0%；交通运输（类）支出0元，占0%；自然资源海洋气象（类）支出0元，占0%；住房保障（类）支出124,174.22元，占1.23%，等等。</w:t>
      </w:r>
    </w:p>
    <w:p>
      <w:pPr>
        <w:spacing w:line="540" w:lineRule="exact"/>
        <w:ind w:firstLine="614" w:firstLineChars="19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2022年度一般公共预算财政拨款支出年初预算为711,964.86元，支出决算为34,453,900.72元，完成年初预算的4839.27%。决算数大于预算数的主要原因：一是安置款补助；二是项目款增加；其中（按支出功能分类说明）：1.***2.***3.***等等。</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2022年度一般公共预算财政拨款基本支出987,679.47元，</w:t>
      </w:r>
      <w:r>
        <w:rPr>
          <w:rFonts w:ascii="仿宋_GB2312" w:hAnsi="宋体" w:eastAsia="仿宋_GB2312"/>
          <w:sz w:val="32"/>
          <w:szCs w:val="32"/>
        </w:rPr>
        <w:t>其中：人员经费</w:t>
      </w:r>
      <w:r>
        <w:rPr>
          <w:rFonts w:hint="eastAsia" w:ascii="仿宋_GB2312" w:hAnsi="宋体" w:eastAsia="仿宋_GB2312"/>
          <w:sz w:val="32"/>
          <w:szCs w:val="32"/>
        </w:rPr>
        <w:t>956,196.77</w:t>
      </w:r>
      <w:r>
        <w:rPr>
          <w:rFonts w:ascii="仿宋_GB2312" w:hAnsi="宋体" w:eastAsia="仿宋_GB2312"/>
          <w:sz w:val="32"/>
          <w:szCs w:val="32"/>
        </w:rPr>
        <w:t>元，公用经费</w:t>
      </w:r>
      <w:r>
        <w:rPr>
          <w:rFonts w:hint="eastAsia" w:ascii="仿宋_GB2312" w:hAnsi="宋体" w:eastAsia="仿宋_GB2312"/>
          <w:sz w:val="32"/>
          <w:szCs w:val="32"/>
        </w:rPr>
        <w:t>31,482.70</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p>
    <w:p>
      <w:pPr>
        <w:jc w:val="left"/>
        <w:rPr>
          <w:rFonts w:ascii="宋体" w:hAnsi="宋体" w:eastAsia="宋体" w:cs="宋体"/>
          <w:color w:val="000000"/>
          <w:kern w:val="0"/>
          <w:sz w:val="22"/>
          <w:szCs w:val="22"/>
        </w:rPr>
      </w:pPr>
      <w:r>
        <w:rPr>
          <w:rFonts w:ascii="仿宋_GB2312" w:hAnsi="宋体" w:eastAsia="仿宋_GB2312" w:cs="Times New Roman"/>
          <w:sz w:val="32"/>
          <w:szCs w:val="32"/>
        </w:rPr>
        <w:t>1.</w:t>
      </w:r>
      <w:r>
        <w:rPr>
          <w:rFonts w:hint="eastAsia" w:ascii="仿宋_GB2312" w:hAnsi="宋体" w:eastAsia="仿宋_GB2312" w:cs="Times New Roman"/>
          <w:sz w:val="32"/>
          <w:szCs w:val="32"/>
        </w:rPr>
        <w:t>工资福利支出990,061.77元，较2022年度年初预算数增加435,353.73元，增长43.97</w:t>
      </w:r>
      <w:r>
        <w:rPr>
          <w:rFonts w:ascii="仿宋_GB2312" w:hAnsi="宋体" w:eastAsia="仿宋_GB2312" w:cs="Times New Roman"/>
          <w:sz w:val="32"/>
          <w:szCs w:val="32"/>
        </w:rPr>
        <w:t>%</w:t>
      </w:r>
      <w:r>
        <w:rPr>
          <w:rFonts w:hint="eastAsia" w:ascii="仿宋_GB2312" w:hAnsi="宋体" w:eastAsia="仿宋_GB2312" w:cs="Times New Roman"/>
          <w:sz w:val="32"/>
          <w:szCs w:val="32"/>
        </w:rPr>
        <w:t>，主要原因是增人增资,基础绩效奖增资。较2021年度决算数增加426,299.57 元，增长43.05</w:t>
      </w:r>
      <w:r>
        <w:rPr>
          <w:rFonts w:ascii="仿宋_GB2312" w:hAnsi="宋体" w:eastAsia="仿宋_GB2312" w:cs="Times New Roman"/>
          <w:sz w:val="32"/>
          <w:szCs w:val="32"/>
        </w:rPr>
        <w:t>%</w:t>
      </w:r>
      <w:r>
        <w:rPr>
          <w:rFonts w:hint="eastAsia" w:ascii="仿宋_GB2312" w:hAnsi="宋体" w:eastAsia="仿宋_GB2312" w:cs="Times New Roman"/>
          <w:sz w:val="32"/>
          <w:szCs w:val="32"/>
        </w:rPr>
        <w:t>。</w:t>
      </w:r>
    </w:p>
    <w:p>
      <w:pPr>
        <w:jc w:val="left"/>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商品和服务支出323,356.77元，</w:t>
      </w:r>
      <w:r>
        <w:rPr>
          <w:rFonts w:hint="eastAsia" w:ascii="仿宋_GB2312" w:hAnsi="宋体" w:eastAsia="仿宋_GB2312" w:cs="Times New Roman"/>
          <w:sz w:val="32"/>
          <w:szCs w:val="32"/>
        </w:rPr>
        <w:t>较2022年度年初预算数增加</w:t>
      </w:r>
      <w:r>
        <w:rPr>
          <w:rFonts w:hint="eastAsia" w:ascii="仿宋_GB2312" w:eastAsia="仿宋_GB2312" w:cs="仿宋_GB2312"/>
          <w:sz w:val="32"/>
          <w:szCs w:val="32"/>
        </w:rPr>
        <w:t xml:space="preserve">204,131.11 </w:t>
      </w:r>
      <w:r>
        <w:rPr>
          <w:rFonts w:hint="eastAsia" w:ascii="仿宋_GB2312" w:hAnsi="宋体" w:eastAsia="仿宋_GB2312" w:cs="Times New Roman"/>
          <w:sz w:val="32"/>
          <w:szCs w:val="32"/>
        </w:rPr>
        <w:t>元，增长63.13</w:t>
      </w:r>
      <w:r>
        <w:rPr>
          <w:rFonts w:ascii="仿宋_GB2312" w:hAnsi="宋体" w:eastAsia="仿宋_GB2312" w:cs="Times New Roman"/>
          <w:sz w:val="32"/>
          <w:szCs w:val="32"/>
        </w:rPr>
        <w:t>%</w:t>
      </w:r>
      <w:r>
        <w:rPr>
          <w:rFonts w:hint="eastAsia" w:ascii="仿宋_GB2312" w:hAnsi="宋体" w:eastAsia="仿宋_GB2312" w:cs="Times New Roman"/>
          <w:sz w:val="32"/>
          <w:szCs w:val="32"/>
        </w:rPr>
        <w:t>，主要原因是***；较2021年度决算数增加</w:t>
      </w:r>
      <w:r>
        <w:rPr>
          <w:rFonts w:hint="eastAsia" w:ascii="仿宋_GB2312" w:eastAsia="仿宋_GB2312" w:cs="仿宋_GB2312"/>
          <w:sz w:val="32"/>
          <w:szCs w:val="32"/>
        </w:rPr>
        <w:t xml:space="preserve">295,236.57 </w:t>
      </w:r>
      <w:r>
        <w:rPr>
          <w:rFonts w:hint="eastAsia" w:ascii="仿宋_GB2312" w:hAnsi="宋体" w:eastAsia="仿宋_GB2312" w:cs="Times New Roman"/>
          <w:sz w:val="32"/>
          <w:szCs w:val="32"/>
        </w:rPr>
        <w:t>元，增长91.3</w:t>
      </w:r>
      <w:r>
        <w:rPr>
          <w:rFonts w:ascii="仿宋_GB2312" w:hAnsi="宋体" w:eastAsia="仿宋_GB2312" w:cs="Times New Roman"/>
          <w:sz w:val="32"/>
          <w:szCs w:val="32"/>
        </w:rPr>
        <w:t>%</w:t>
      </w:r>
      <w:r>
        <w:rPr>
          <w:rFonts w:hint="eastAsia" w:ascii="仿宋_GB2312" w:hAnsi="宋体" w:eastAsia="仿宋_GB2312" w:cs="Times New Roman"/>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对个人和家庭的补助16,135.00元，</w:t>
      </w:r>
      <w:r>
        <w:rPr>
          <w:rFonts w:hint="eastAsia" w:ascii="仿宋_GB2312" w:hAnsi="宋体" w:eastAsia="仿宋_GB2312" w:cs="Times New Roman"/>
          <w:color w:val="auto"/>
          <w:sz w:val="32"/>
          <w:szCs w:val="32"/>
        </w:rPr>
        <w:t>较2022年度年初预算数增加15,295.00元，增长94.79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，主要原因是；较2021年度决算数增加（减少）***元，增长（降低）***</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资本性支出（基本建设）0元，</w:t>
      </w:r>
      <w:r>
        <w:rPr>
          <w:rFonts w:hint="eastAsia" w:ascii="仿宋_GB2312" w:hAnsi="宋体" w:eastAsia="仿宋_GB2312" w:cs="Times New Roman"/>
          <w:color w:val="auto"/>
          <w:sz w:val="32"/>
          <w:szCs w:val="32"/>
        </w:rPr>
        <w:t>较2022年度年初预算数增加（减少）0元，增长（降低）0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，主要原因是无；较2021年度决算数增加（减少）0元，增长（降低）0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jc w:val="left"/>
        <w:rPr>
          <w:rFonts w:ascii="仿宋_GB2312" w:eastAsia="仿宋_GB2312" w:cs="仿宋_GB2312"/>
          <w:sz w:val="32"/>
          <w:szCs w:val="32"/>
        </w:rPr>
      </w:pPr>
      <w:r>
        <w:rPr>
          <w:rFonts w:hint="eastAsia" w:ascii="仿宋_GB2312" w:eastAsia="仿宋_GB2312" w:cs="仿宋_GB2312"/>
          <w:sz w:val="32"/>
          <w:szCs w:val="32"/>
        </w:rPr>
        <w:t>5</w:t>
      </w:r>
      <w:r>
        <w:rPr>
          <w:rFonts w:ascii="仿宋_GB2312" w:eastAsia="仿宋_GB2312" w:cs="仿宋_GB2312"/>
          <w:sz w:val="32"/>
          <w:szCs w:val="32"/>
        </w:rPr>
        <w:t>.</w:t>
      </w:r>
      <w:r>
        <w:rPr>
          <w:rFonts w:hint="eastAsia" w:ascii="仿宋_GB2312" w:eastAsia="仿宋_GB2312" w:cs="仿宋_GB2312"/>
          <w:sz w:val="32"/>
          <w:szCs w:val="32"/>
        </w:rPr>
        <w:t>资本性支出39,986,536.7元，</w:t>
      </w:r>
      <w:r>
        <w:rPr>
          <w:rFonts w:hint="eastAsia" w:ascii="仿宋_GB2312" w:hAnsi="宋体" w:eastAsia="仿宋_GB2312" w:cs="Times New Roman"/>
          <w:sz w:val="32"/>
          <w:szCs w:val="32"/>
        </w:rPr>
        <w:t>较2022年度年初预算数减少</w:t>
      </w:r>
      <w:r>
        <w:rPr>
          <w:rFonts w:hint="eastAsia" w:ascii="仿宋_GB2312" w:eastAsia="仿宋_GB2312" w:cs="仿宋_GB2312"/>
          <w:sz w:val="32"/>
          <w:szCs w:val="32"/>
        </w:rPr>
        <w:t xml:space="preserve">114,844,187.65 </w:t>
      </w:r>
      <w:r>
        <w:rPr>
          <w:rFonts w:hint="eastAsia" w:ascii="仿宋_GB2312" w:hAnsi="宋体" w:eastAsia="仿宋_GB2312" w:cs="Times New Roman"/>
          <w:sz w:val="32"/>
          <w:szCs w:val="32"/>
        </w:rPr>
        <w:t>元，降低74.17</w:t>
      </w:r>
      <w:r>
        <w:rPr>
          <w:rFonts w:ascii="仿宋_GB2312" w:hAnsi="宋体" w:eastAsia="仿宋_GB2312" w:cs="Times New Roman"/>
          <w:sz w:val="32"/>
          <w:szCs w:val="32"/>
        </w:rPr>
        <w:t>%</w:t>
      </w:r>
      <w:r>
        <w:rPr>
          <w:rFonts w:hint="eastAsia" w:ascii="仿宋_GB2312" w:hAnsi="宋体" w:eastAsia="仿宋_GB2312" w:cs="Times New Roman"/>
          <w:sz w:val="32"/>
          <w:szCs w:val="32"/>
        </w:rPr>
        <w:t>，主要原因是减少了安置补偿款；较2021年度决算数减少</w:t>
      </w:r>
      <w:r>
        <w:rPr>
          <w:rFonts w:hint="eastAsia" w:ascii="仿宋_GB2312" w:eastAsia="仿宋_GB2312" w:cs="仿宋_GB2312"/>
          <w:sz w:val="32"/>
          <w:szCs w:val="32"/>
        </w:rPr>
        <w:t xml:space="preserve">72,543,773.96 </w:t>
      </w:r>
    </w:p>
    <w:p>
      <w:pPr>
        <w:jc w:val="left"/>
        <w:rPr>
          <w:rFonts w:ascii="仿宋_GB2312" w:eastAsia="仿宋_GB2312" w:cs="仿宋_GB2312"/>
          <w:sz w:val="32"/>
          <w:szCs w:val="32"/>
        </w:rPr>
      </w:pPr>
      <w:r>
        <w:rPr>
          <w:rFonts w:hint="eastAsia" w:ascii="仿宋_GB2312" w:hAnsi="宋体" w:eastAsia="仿宋_GB2312" w:cs="Times New Roman"/>
          <w:sz w:val="32"/>
          <w:szCs w:val="32"/>
        </w:rPr>
        <w:t>元，降低64.47</w:t>
      </w:r>
      <w:r>
        <w:rPr>
          <w:rFonts w:ascii="仿宋_GB2312" w:hAnsi="宋体" w:eastAsia="仿宋_GB2312" w:cs="Times New Roman"/>
          <w:sz w:val="32"/>
          <w:szCs w:val="32"/>
        </w:rPr>
        <w:t>%</w:t>
      </w:r>
      <w:r>
        <w:rPr>
          <w:rFonts w:hint="eastAsia" w:ascii="仿宋_GB2312" w:hAnsi="宋体" w:eastAsia="仿宋_GB2312" w:cs="Times New Roman"/>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6</w:t>
      </w:r>
      <w:r>
        <w:rPr>
          <w:rFonts w:ascii="仿宋_GB2312" w:eastAsia="仿宋_GB2312" w:cs="仿宋_GB2312"/>
          <w:sz w:val="32"/>
          <w:szCs w:val="32"/>
        </w:rPr>
        <w:t>.</w:t>
      </w:r>
      <w:r>
        <w:rPr>
          <w:rFonts w:hint="eastAsia" w:ascii="仿宋_GB2312" w:eastAsia="仿宋_GB2312" w:cs="仿宋_GB2312"/>
          <w:sz w:val="32"/>
          <w:szCs w:val="32"/>
        </w:rPr>
        <w:t>对企业补助（基本建设）0元，</w:t>
      </w:r>
      <w:r>
        <w:rPr>
          <w:rFonts w:hint="eastAsia" w:ascii="仿宋_GB2312" w:hAnsi="宋体" w:eastAsia="仿宋_GB2312" w:cs="Times New Roman"/>
          <w:color w:val="auto"/>
          <w:sz w:val="32"/>
          <w:szCs w:val="32"/>
        </w:rPr>
        <w:t>较2022年度年初预算数增加（减少）0元，增长（降低）0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，主要原因是无；较2021年度决算数增加（减少）0元，增长（降低）0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7</w:t>
      </w:r>
      <w:r>
        <w:rPr>
          <w:rFonts w:ascii="仿宋_GB2312" w:eastAsia="仿宋_GB2312" w:cs="仿宋_GB2312"/>
          <w:sz w:val="32"/>
          <w:szCs w:val="32"/>
        </w:rPr>
        <w:t>.</w:t>
      </w:r>
      <w:r>
        <w:rPr>
          <w:rFonts w:hint="eastAsia" w:ascii="仿宋_GB2312" w:eastAsia="仿宋_GB2312" w:cs="仿宋_GB2312"/>
          <w:sz w:val="32"/>
          <w:szCs w:val="32"/>
        </w:rPr>
        <w:t>对企业补助0元，</w:t>
      </w:r>
      <w:r>
        <w:rPr>
          <w:rFonts w:hint="eastAsia" w:ascii="仿宋_GB2312" w:hAnsi="宋体" w:eastAsia="仿宋_GB2312" w:cs="Times New Roman"/>
          <w:color w:val="auto"/>
          <w:sz w:val="32"/>
          <w:szCs w:val="32"/>
        </w:rPr>
        <w:t>较2022年度年初预算数增加（减少）0元，增长（降低）0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，主要原因是无；较2021年度决算数增加（减少）0元，增长（降低）0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8</w:t>
      </w:r>
      <w:r>
        <w:rPr>
          <w:rFonts w:ascii="仿宋_GB2312" w:eastAsia="仿宋_GB2312" w:cs="仿宋_GB2312"/>
          <w:sz w:val="32"/>
          <w:szCs w:val="32"/>
        </w:rPr>
        <w:t>.</w:t>
      </w:r>
      <w:r>
        <w:rPr>
          <w:rFonts w:hint="eastAsia" w:ascii="仿宋_GB2312" w:eastAsia="仿宋_GB2312" w:cs="仿宋_GB2312"/>
          <w:sz w:val="32"/>
          <w:szCs w:val="32"/>
        </w:rPr>
        <w:t>其他支出0元，</w:t>
      </w:r>
      <w:r>
        <w:rPr>
          <w:rFonts w:hint="eastAsia" w:ascii="仿宋_GB2312" w:hAnsi="宋体" w:eastAsia="仿宋_GB2312" w:cs="Times New Roman"/>
          <w:color w:val="auto"/>
          <w:sz w:val="32"/>
          <w:szCs w:val="32"/>
        </w:rPr>
        <w:t>较2022年度年初预算数增加（减少）0元，增长（降低）0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，主要原因是无；较2021年度决算数增加（减少）0元，增长（降低）0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40" w:lineRule="exact"/>
        <w:ind w:firstLine="151" w:firstLineChars="47"/>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总体情况说明。</w:t>
      </w:r>
      <w:r>
        <w:rPr>
          <w:rFonts w:hint="eastAsia" w:ascii="仿宋_GB2312" w:hAnsi="仿宋_GB2312" w:eastAsia="仿宋_GB2312" w:cs="仿宋_GB2312"/>
          <w:kern w:val="0"/>
          <w:sz w:val="32"/>
          <w:szCs w:val="32"/>
        </w:rPr>
        <w:t>2022年度“三公”经费一般公共预算财政拨款支出预算为0元，支出决算为0元，完成预算的0%，2022年度“三公”经费支出决算数小于（大于）预算数的主要原因：无。</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度“三公”经费一般公共预算财政拨款支出决算数比2021年度减少（增加）0元，下降（增长）0%，其中：因公出国（境）费支出决算减少（增加）0元，下降（增长）0%；公务用车购置及运行费支出决算减少（增加）0元，下降（增长）0%；公务接待费支出决算减少（增加）0元，下降（增长）0%；因公出国（境）费支出减少（增加）的主要原因是没有出国出(境)；公务用车购置及运行费支出减少（增加）的主要原因是没有用；公务接待费支出减少（增加）的主要原因是没有接待费用。</w:t>
      </w:r>
    </w:p>
    <w:p>
      <w:pPr>
        <w:pStyle w:val="9"/>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（二）“三公”经费一般公共预算财政拨款支出决算具体情况说明。</w:t>
      </w:r>
      <w:r>
        <w:rPr>
          <w:rFonts w:hint="eastAsia" w:ascii="仿宋_GB2312" w:hAnsi="仿宋_GB2312" w:eastAsia="仿宋_GB2312" w:cs="仿宋_GB2312"/>
          <w:color w:val="auto"/>
          <w:sz w:val="32"/>
          <w:szCs w:val="32"/>
        </w:rPr>
        <w:t>2022年度“三公”经费一般公共预算财政拨款支出决算中，因公出国（境）费支出决算0元，占0%；公务用车购置及运行费支出决0元，占0%；公务接待费支出决算0元，占0%。具体情况如下：</w:t>
      </w:r>
    </w:p>
    <w:p>
      <w:pPr>
        <w:pStyle w:val="9"/>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预算为0元，</w:t>
      </w:r>
      <w:r>
        <w:rPr>
          <w:rFonts w:hint="eastAsia" w:ascii="仿宋_GB2312" w:hAnsi="仿宋_GB2312" w:eastAsia="仿宋_GB2312" w:cs="仿宋_GB2312"/>
          <w:sz w:val="32"/>
          <w:szCs w:val="32"/>
        </w:rPr>
        <w:t>支出决算为0元，完成预算的0%；</w:t>
      </w:r>
      <w:r>
        <w:rPr>
          <w:rFonts w:hint="eastAsia" w:ascii="仿宋_GB2312" w:hAnsi="仿宋_GB2312" w:eastAsia="仿宋_GB2312" w:cs="仿宋_GB2312"/>
          <w:color w:val="auto"/>
          <w:sz w:val="32"/>
          <w:szCs w:val="32"/>
        </w:rPr>
        <w:t xml:space="preserve">2022年度因公出国（境）团组数0个，累计因公出国（境）人次数0人次。开支内容包括：没有。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rPr>
        <w:t>预算为0元，支出决算为0元，完成预算的0%</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 xml:space="preserve">其中：公务用车购置费支出为0元，公务用车运行维护费支出0元，主要没有用等。2022年度一般公共预算财政拨款开支的公务用车购置数0辆，公务用车保有量为0辆。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kern w:val="0"/>
          <w:sz w:val="32"/>
          <w:szCs w:val="32"/>
        </w:rPr>
        <w:t>预算为0元，</w:t>
      </w:r>
      <w:r>
        <w:rPr>
          <w:rFonts w:hint="eastAsia" w:ascii="仿宋_GB2312" w:hAnsi="仿宋_GB2312" w:eastAsia="仿宋_GB2312" w:cs="仿宋_GB2312"/>
          <w:kern w:val="0"/>
          <w:sz w:val="32"/>
          <w:szCs w:val="32"/>
        </w:rPr>
        <w:t>支出决算为0元，完成预算的0%。其中： 国内接待费支出0元，主要没有接待。国（境）外接待费支出0元，主要没有接待。2022年度国内公务接待批次0个，国内公务接待人次0人，国（境）外公务接待批次0个，国（境）外公务接待人次0人。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八、政府性基金预算财政拨款收入支出决算情况说明</w:t>
      </w:r>
    </w:p>
    <w:p>
      <w:pPr>
        <w:jc w:val="left"/>
        <w:rPr>
          <w:rFonts w:ascii="仿宋_GB2312" w:hAnsi="宋体" w:eastAsia="仿宋_GB2312" w:cs="Times New Roman"/>
          <w:sz w:val="32"/>
          <w:szCs w:val="32"/>
        </w:rPr>
      </w:pPr>
      <w:r>
        <w:rPr>
          <w:rFonts w:hint="eastAsia" w:ascii="仿宋_GB2312" w:hAnsi="宋体" w:eastAsia="仿宋_GB2312" w:cs="Times New Roman"/>
          <w:sz w:val="32"/>
          <w:szCs w:val="32"/>
        </w:rPr>
        <w:t>2022年度政府性基金预算财政拨款本年收入0元，本年支出24,345,391.00元，年末结转和结余0元。较2021年度决算数减少3,336,765.00元，降低12.05</w:t>
      </w:r>
      <w:r>
        <w:rPr>
          <w:rFonts w:ascii="仿宋_GB2312" w:hAnsi="宋体" w:eastAsia="仿宋_GB2312" w:cs="Times New Roman"/>
          <w:sz w:val="32"/>
          <w:szCs w:val="32"/>
        </w:rPr>
        <w:t>%</w:t>
      </w:r>
      <w:r>
        <w:rPr>
          <w:rFonts w:hint="eastAsia" w:ascii="仿宋_GB2312" w:hAnsi="宋体" w:eastAsia="仿宋_GB2312" w:cs="Times New Roman"/>
          <w:sz w:val="32"/>
          <w:szCs w:val="32"/>
        </w:rPr>
        <w:t>，主要原因是：项目支出减少。支出具体情况如下:没有征地和拆迁补偿；其他国有土地使用权出让收入安排的支出减少3,336,765.00元（按支出功能分类科目说明）。</w:t>
      </w:r>
    </w:p>
    <w:p>
      <w:pPr>
        <w:pStyle w:val="9"/>
        <w:spacing w:line="54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九、国有资本经营预算财政拨款支出情况说明</w:t>
      </w:r>
    </w:p>
    <w:p>
      <w:pPr>
        <w:jc w:val="left"/>
        <w:rPr>
          <w:rFonts w:ascii="宋体" w:hAnsi="宋体" w:eastAsia="宋体" w:cs="宋体"/>
          <w:color w:val="000000"/>
          <w:kern w:val="0"/>
          <w:sz w:val="22"/>
          <w:szCs w:val="22"/>
        </w:rPr>
      </w:pPr>
      <w:r>
        <w:rPr>
          <w:rFonts w:hint="eastAsia" w:ascii="仿宋_GB2312" w:hAnsi="宋体" w:eastAsia="仿宋_GB2312" w:cs="Times New Roman"/>
          <w:sz w:val="32"/>
          <w:szCs w:val="32"/>
        </w:rPr>
        <w:t xml:space="preserve">    2022年度国有资本经营预算财政拨款本年收入0元，支出0元，年末结转和结余0元。较2021年度决算数增加（减少）元，增长（降低）0</w:t>
      </w:r>
      <w:r>
        <w:rPr>
          <w:rFonts w:ascii="仿宋_GB2312" w:hAnsi="宋体" w:eastAsia="仿宋_GB2312" w:cs="Times New Roman"/>
          <w:sz w:val="32"/>
          <w:szCs w:val="32"/>
        </w:rPr>
        <w:t>%</w:t>
      </w:r>
      <w:r>
        <w:rPr>
          <w:rFonts w:hint="eastAsia" w:ascii="仿宋_GB2312" w:hAnsi="宋体" w:eastAsia="仿宋_GB2312" w:cs="Times New Roman"/>
          <w:sz w:val="32"/>
          <w:szCs w:val="32"/>
        </w:rPr>
        <w:t>，主要原因是：无。具体情况如下：无（按支出功能分类科目说明）。</w:t>
      </w:r>
    </w:p>
    <w:p>
      <w:pPr>
        <w:pStyle w:val="2"/>
        <w:keepLines w:val="0"/>
        <w:rPr>
          <w:rFonts w:ascii="楷体_GB2312" w:hAnsi="楷体_GB2312" w:eastAsia="楷体_GB2312" w:cs="楷体_GB2312"/>
          <w:bCs/>
          <w:kern w:val="0"/>
          <w:szCs w:val="32"/>
        </w:rPr>
      </w:pPr>
      <w:r>
        <w:rPr>
          <w:rFonts w:hint="eastAsia" w:ascii="楷体_GB2312" w:hAnsi="楷体_GB2312" w:eastAsia="楷体_GB2312" w:cs="楷体_GB2312"/>
          <w:bCs/>
          <w:kern w:val="0"/>
          <w:szCs w:val="32"/>
        </w:rPr>
        <w:t xml:space="preserve">    十、其他重要事项的情况说明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（一）机关运行经费支出情况说明（备注：此数据与部门决算中行政单位和参照公务员法管理事业单位一般公共预算财政拨款基本支出中公用经费之和保持一致）</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2022年度本部门机关运行经费支出31,482.70元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比2021年度增加20,712.91元，增长65.79%。主要原因是：办公费增加了11,529.00元,差旅费增加了6,400.00元 ,维修(护)费增加了6,038.00元,工会经费增加了459.7元.</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2022年度本部门政府采购支出总额0元。其中：政府采购货物支出元、政府采购工程支出0元、政府采购服务0元。授予中小企业合同金额0元，占政府采购支出总额的0%，其中：授予小微企业合同金额0元，占政府采购支出总额的0%。</w:t>
      </w:r>
    </w:p>
    <w:p>
      <w:pPr>
        <w:spacing w:line="58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spacing w:line="58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截至2022年12月31日，本部门房屋面积0平方米，共有车辆0辆，其中：领导干部用车0辆、一般公务用车0辆；单价50万元以上通用设备0台（套），单价100万元以上专用设备0台（套）。</w:t>
      </w:r>
    </w:p>
    <w:p>
      <w:pPr>
        <w:spacing w:line="58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8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根据预算绩效管理要求，本部门组织对2022年度项目支出开展绩效自评。其中，一般公共预算一级项目0个，二级项目0个，共涉及资金0万元，占一般公共预算项目支出总额的0%。 政府性基金预算项目0个，涉及资金0万元，占政府性基金项目支出总额的0%。（请各部门对具体项目绩效管理工作进行说明）</w:t>
      </w:r>
    </w:p>
    <w:p>
      <w:pPr>
        <w:widowControl/>
        <w:spacing w:line="580" w:lineRule="exact"/>
        <w:ind w:firstLine="622" w:firstLineChars="200"/>
        <w:jc w:val="left"/>
        <w:rPr>
          <w:rFonts w:ascii="仿宋" w:hAnsi="仿宋" w:eastAsia="仿宋" w:cs="仿宋"/>
          <w:color w:val="000000"/>
          <w:kern w:val="0"/>
          <w:sz w:val="31"/>
          <w:szCs w:val="31"/>
        </w:rPr>
      </w:pPr>
      <w:r>
        <w:rPr>
          <w:rFonts w:hint="eastAsia" w:ascii="仿宋" w:hAnsi="仿宋" w:eastAsia="仿宋" w:cs="仿宋"/>
          <w:b/>
          <w:color w:val="000000"/>
          <w:kern w:val="0"/>
          <w:sz w:val="31"/>
          <w:szCs w:val="31"/>
        </w:rPr>
        <w:t>2.</w:t>
      </w:r>
      <w:r>
        <w:rPr>
          <w:rFonts w:ascii="仿宋" w:hAnsi="仿宋" w:eastAsia="仿宋" w:cs="仿宋"/>
          <w:b/>
          <w:color w:val="000000"/>
          <w:kern w:val="0"/>
          <w:sz w:val="31"/>
          <w:szCs w:val="31"/>
        </w:rPr>
        <w:t>项目绩效自评结果。</w:t>
      </w:r>
      <w:r>
        <w:rPr>
          <w:rFonts w:hint="eastAsia" w:ascii="仿宋_GB2312" w:hAnsi="仿宋_GB2312" w:eastAsia="仿宋_GB2312" w:cs="仿宋_GB2312"/>
          <w:kern w:val="0"/>
          <w:sz w:val="32"/>
          <w:szCs w:val="32"/>
        </w:rPr>
        <w:t>根据年初设定的绩效目标，“无”项目自评得分为无分。发现的主要问题：无。下一步改进措施：无。</w:t>
      </w:r>
    </w:p>
    <w:p>
      <w:pPr>
        <w:widowControl/>
        <w:spacing w:line="580" w:lineRule="exact"/>
        <w:jc w:val="left"/>
        <w:rPr>
          <w:rFonts w:ascii="仿宋" w:hAnsi="仿宋" w:eastAsia="仿宋" w:cs="仿宋"/>
          <w:color w:val="000000"/>
          <w:kern w:val="0"/>
          <w:sz w:val="31"/>
          <w:szCs w:val="31"/>
        </w:rPr>
      </w:pPr>
    </w:p>
    <w:p>
      <w:pPr>
        <w:widowControl/>
        <w:spacing w:line="580" w:lineRule="exact"/>
        <w:ind w:firstLine="620" w:firstLineChars="200"/>
        <w:jc w:val="left"/>
        <w:rPr>
          <w:rFonts w:ascii="仿宋" w:hAnsi="仿宋" w:eastAsia="仿宋" w:cs="仿宋"/>
          <w:color w:val="000000"/>
          <w:kern w:val="0"/>
          <w:sz w:val="31"/>
          <w:szCs w:val="31"/>
        </w:rPr>
      </w:pPr>
    </w:p>
    <w:p>
      <w:pPr>
        <w:autoSpaceDE w:val="0"/>
        <w:autoSpaceDN w:val="0"/>
        <w:spacing w:line="400" w:lineRule="exact"/>
        <w:rPr>
          <w:rFonts w:ascii="CESI仿宋-GB2312" w:hAnsi="CESI仿宋-GB2312" w:eastAsia="CESI仿宋-GB2312" w:cs="CESI仿宋-GB2312"/>
          <w:sz w:val="31"/>
        </w:rPr>
      </w:pPr>
      <w:r>
        <w:rPr>
          <w:rFonts w:hint="eastAsia" w:ascii="CESI仿宋-GB2312" w:hAnsi="CESI仿宋-GB2312" w:eastAsia="CESI仿宋-GB2312" w:cs="CESI仿宋-GB2312"/>
          <w:sz w:val="31"/>
        </w:rPr>
        <w:t>附件</w:t>
      </w:r>
    </w:p>
    <w:p>
      <w:pPr>
        <w:autoSpaceDE w:val="0"/>
        <w:autoSpaceDN w:val="0"/>
        <w:spacing w:line="400" w:lineRule="exact"/>
        <w:ind w:left="120" w:firstLine="2520" w:firstLineChars="700"/>
      </w:pPr>
      <w:r>
        <w:rPr>
          <w:rFonts w:hint="eastAsia" w:ascii="宋体" w:hAnsi="宋体" w:eastAsia="宋体" w:cs="宋体"/>
          <w:sz w:val="36"/>
        </w:rPr>
        <w:t>项目支出绩效自评表</w:t>
      </w:r>
    </w:p>
    <w:p>
      <w:pPr>
        <w:autoSpaceDE w:val="0"/>
        <w:autoSpaceDN w:val="0"/>
        <w:spacing w:line="340" w:lineRule="exact"/>
        <w:ind w:firstLine="3680" w:firstLineChars="2300"/>
      </w:pPr>
      <w:r>
        <w:rPr>
          <w:rFonts w:hint="eastAsia" w:ascii="宋体" w:hAnsi="宋体" w:eastAsia="宋体" w:cs="宋体"/>
          <w:sz w:val="16"/>
        </w:rPr>
        <w:t>（2022年度）</w:t>
      </w:r>
    </w:p>
    <w:p>
      <w:pPr>
        <w:spacing w:line="80" w:lineRule="exact"/>
        <w:rPr>
          <w:rFonts w:ascii="宋体" w:hAnsi="宋体" w:eastAsia="宋体" w:cs="宋体"/>
          <w:sz w:val="20"/>
        </w:rPr>
      </w:pPr>
    </w:p>
    <w:tbl>
      <w:tblPr>
        <w:tblStyle w:val="6"/>
        <w:tblpPr w:leftFromText="180" w:rightFromText="180" w:vertAnchor="text" w:horzAnchor="page" w:tblpX="827" w:tblpY="199"/>
        <w:tblOverlap w:val="never"/>
        <w:tblW w:w="100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
      <w:tblGrid>
        <w:gridCol w:w="466"/>
        <w:gridCol w:w="445"/>
        <w:gridCol w:w="812"/>
        <w:gridCol w:w="2413"/>
        <w:gridCol w:w="912"/>
        <w:gridCol w:w="934"/>
        <w:gridCol w:w="952"/>
        <w:gridCol w:w="609"/>
        <w:gridCol w:w="749"/>
        <w:gridCol w:w="830"/>
        <w:gridCol w:w="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exact"/>
        </w:trPr>
        <w:tc>
          <w:tcPr>
            <w:tcW w:w="1723" w:type="dxa"/>
            <w:gridSpan w:val="3"/>
            <w:tcMar>
              <w:top w:w="0" w:type="dxa"/>
              <w:left w:w="0" w:type="dxa"/>
              <w:bottom w:w="0" w:type="dxa"/>
              <w:right w:w="0" w:type="dxa"/>
            </w:tcMar>
          </w:tcPr>
          <w:p>
            <w:pPr>
              <w:ind w:left="500"/>
            </w:pPr>
            <w:r>
              <w:rPr>
                <w:rFonts w:hint="eastAsia" w:ascii="宋体" w:hAnsi="宋体" w:eastAsia="宋体" w:cs="宋体"/>
                <w:sz w:val="16"/>
              </w:rPr>
              <w:t>项目名称</w:t>
            </w:r>
          </w:p>
        </w:tc>
        <w:tc>
          <w:tcPr>
            <w:tcW w:w="8376" w:type="dxa"/>
            <w:gridSpan w:val="8"/>
            <w:tcMar>
              <w:top w:w="0" w:type="dxa"/>
              <w:left w:w="0" w:type="dxa"/>
              <w:bottom w:w="0" w:type="dxa"/>
              <w:right w:w="0" w:type="dxa"/>
            </w:tcMar>
          </w:tcPr>
          <w:p>
            <w:pPr>
              <w:ind w:left="344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7" w:hRule="exact"/>
        </w:trPr>
        <w:tc>
          <w:tcPr>
            <w:tcW w:w="1723" w:type="dxa"/>
            <w:gridSpan w:val="3"/>
            <w:tcMar>
              <w:top w:w="0" w:type="dxa"/>
              <w:left w:w="0" w:type="dxa"/>
              <w:bottom w:w="0" w:type="dxa"/>
              <w:right w:w="0" w:type="dxa"/>
            </w:tcMar>
          </w:tcPr>
          <w:p>
            <w:pPr>
              <w:ind w:left="500"/>
            </w:pPr>
            <w:r>
              <w:rPr>
                <w:rFonts w:hint="eastAsia" w:ascii="宋体" w:hAnsi="宋体" w:eastAsia="宋体" w:cs="宋体"/>
                <w:sz w:val="16"/>
              </w:rPr>
              <w:t>主管部门</w:t>
            </w:r>
          </w:p>
        </w:tc>
        <w:tc>
          <w:tcPr>
            <w:tcW w:w="4259" w:type="dxa"/>
            <w:gridSpan w:val="3"/>
            <w:tcMar>
              <w:top w:w="0" w:type="dxa"/>
              <w:left w:w="0" w:type="dxa"/>
              <w:bottom w:w="0" w:type="dxa"/>
              <w:right w:w="0" w:type="dxa"/>
            </w:tcMar>
          </w:tcPr>
          <w:p>
            <w:pPr>
              <w:ind w:left="1680"/>
            </w:pPr>
          </w:p>
        </w:tc>
        <w:tc>
          <w:tcPr>
            <w:tcW w:w="4117" w:type="dxa"/>
            <w:gridSpan w:val="5"/>
            <w:tcMar>
              <w:top w:w="0" w:type="dxa"/>
              <w:left w:w="0" w:type="dxa"/>
              <w:bottom w:w="0" w:type="dxa"/>
              <w:right w:w="0" w:type="dxa"/>
            </w:tcMar>
          </w:tcPr>
          <w:p>
            <w:pPr>
              <w:tabs>
                <w:tab w:val="left" w:pos="2360"/>
              </w:tabs>
              <w:ind w:left="420"/>
            </w:pPr>
            <w:r>
              <w:rPr>
                <w:rFonts w:hint="eastAsia" w:ascii="宋体" w:hAnsi="宋体" w:eastAsia="宋体" w:cs="宋体"/>
                <w:sz w:val="16"/>
              </w:rPr>
              <w:t>实施单位</w:t>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84" w:hRule="exact"/>
        </w:trPr>
        <w:tc>
          <w:tcPr>
            <w:tcW w:w="1723" w:type="dxa"/>
            <w:gridSpan w:val="3"/>
            <w:vMerge w:val="restart"/>
            <w:tcMar>
              <w:top w:w="0" w:type="dxa"/>
              <w:left w:w="0" w:type="dxa"/>
              <w:bottom w:w="0" w:type="dxa"/>
              <w:right w:w="0" w:type="dxa"/>
            </w:tcMar>
          </w:tcPr>
          <w:p>
            <w:pPr>
              <w:spacing w:before="380"/>
              <w:ind w:left="500"/>
            </w:pPr>
            <w:r>
              <w:rPr>
                <w:rFonts w:hint="eastAsia" w:ascii="宋体" w:hAnsi="宋体" w:eastAsia="宋体" w:cs="宋体"/>
                <w:sz w:val="16"/>
              </w:rPr>
              <w:t>项目资金</w:t>
            </w:r>
          </w:p>
          <w:p>
            <w:pPr>
              <w:ind w:left="500"/>
            </w:pPr>
            <w:r>
              <w:rPr>
                <w:rFonts w:hint="eastAsia" w:ascii="宋体" w:hAnsi="宋体" w:eastAsia="宋体" w:cs="宋体"/>
                <w:sz w:val="16"/>
              </w:rPr>
              <w:t>（万元）</w:t>
            </w:r>
          </w:p>
        </w:tc>
        <w:tc>
          <w:tcPr>
            <w:tcW w:w="2413" w:type="dxa"/>
            <w:tcMar>
              <w:top w:w="0" w:type="dxa"/>
              <w:left w:w="0" w:type="dxa"/>
              <w:bottom w:w="0" w:type="dxa"/>
              <w:right w:w="0" w:type="dxa"/>
            </w:tcMar>
          </w:tcPr>
          <w:p/>
        </w:tc>
        <w:tc>
          <w:tcPr>
            <w:tcW w:w="912" w:type="dxa"/>
            <w:tcMar>
              <w:top w:w="0" w:type="dxa"/>
              <w:left w:w="0" w:type="dxa"/>
              <w:bottom w:w="0" w:type="dxa"/>
              <w:right w:w="0" w:type="dxa"/>
            </w:tcMar>
          </w:tcPr>
          <w:p>
            <w:r>
              <w:rPr>
                <w:rFonts w:hint="eastAsia" w:ascii="宋体" w:hAnsi="宋体" w:eastAsia="宋体" w:cs="宋体"/>
                <w:sz w:val="16"/>
              </w:rPr>
              <w:t>年初预算数</w:t>
            </w:r>
          </w:p>
        </w:tc>
        <w:tc>
          <w:tcPr>
            <w:tcW w:w="934" w:type="dxa"/>
            <w:tcMar>
              <w:top w:w="0" w:type="dxa"/>
              <w:left w:w="0" w:type="dxa"/>
              <w:bottom w:w="0" w:type="dxa"/>
              <w:right w:w="0" w:type="dxa"/>
            </w:tcMar>
          </w:tcPr>
          <w:p>
            <w:r>
              <w:rPr>
                <w:rFonts w:hint="eastAsia" w:ascii="宋体" w:hAnsi="宋体" w:eastAsia="宋体" w:cs="宋体"/>
                <w:sz w:val="16"/>
              </w:rPr>
              <w:t>全年预算数</w:t>
            </w:r>
          </w:p>
        </w:tc>
        <w:tc>
          <w:tcPr>
            <w:tcW w:w="1561" w:type="dxa"/>
            <w:gridSpan w:val="2"/>
            <w:tcMar>
              <w:top w:w="0" w:type="dxa"/>
              <w:left w:w="0" w:type="dxa"/>
              <w:bottom w:w="0" w:type="dxa"/>
              <w:right w:w="0" w:type="dxa"/>
            </w:tcMar>
          </w:tcPr>
          <w:p>
            <w:pPr>
              <w:ind w:left="340"/>
            </w:pPr>
            <w:r>
              <w:rPr>
                <w:rFonts w:hint="eastAsia" w:ascii="宋体" w:hAnsi="宋体" w:eastAsia="宋体" w:cs="宋体"/>
                <w:sz w:val="16"/>
              </w:rPr>
              <w:t>全年执行数</w:t>
            </w:r>
          </w:p>
        </w:tc>
        <w:tc>
          <w:tcPr>
            <w:tcW w:w="749" w:type="dxa"/>
            <w:tcMar>
              <w:top w:w="0" w:type="dxa"/>
              <w:left w:w="0" w:type="dxa"/>
              <w:bottom w:w="0" w:type="dxa"/>
              <w:right w:w="0" w:type="dxa"/>
            </w:tcMar>
          </w:tcPr>
          <w:p>
            <w:pPr>
              <w:ind w:left="180"/>
            </w:pPr>
            <w:r>
              <w:rPr>
                <w:rFonts w:hint="eastAsia" w:ascii="宋体" w:hAnsi="宋体" w:eastAsia="宋体" w:cs="宋体"/>
                <w:sz w:val="16"/>
              </w:rPr>
              <w:t>分值</w:t>
            </w:r>
          </w:p>
        </w:tc>
        <w:tc>
          <w:tcPr>
            <w:tcW w:w="830" w:type="dxa"/>
            <w:tcMar>
              <w:top w:w="0" w:type="dxa"/>
              <w:left w:w="0" w:type="dxa"/>
              <w:bottom w:w="0" w:type="dxa"/>
              <w:right w:w="0" w:type="dxa"/>
            </w:tcMar>
          </w:tcPr>
          <w:p>
            <w:pPr>
              <w:ind w:left="140"/>
            </w:pPr>
            <w:r>
              <w:rPr>
                <w:rFonts w:hint="eastAsia" w:ascii="宋体" w:hAnsi="宋体" w:eastAsia="宋体" w:cs="宋体"/>
                <w:sz w:val="16"/>
              </w:rPr>
              <w:t>执行率</w:t>
            </w:r>
          </w:p>
        </w:tc>
        <w:tc>
          <w:tcPr>
            <w:tcW w:w="977" w:type="dxa"/>
            <w:tcMar>
              <w:top w:w="0" w:type="dxa"/>
              <w:left w:w="0" w:type="dxa"/>
              <w:bottom w:w="0" w:type="dxa"/>
              <w:right w:w="0" w:type="dxa"/>
            </w:tcMar>
          </w:tcPr>
          <w:p>
            <w:pPr>
              <w:ind w:left="300"/>
            </w:pPr>
            <w:r>
              <w:rPr>
                <w:rFonts w:hint="eastAsia" w:ascii="宋体" w:hAnsi="宋体" w:eastAsia="宋体" w:cs="宋体"/>
                <w:sz w:val="16"/>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r>
              <w:rPr>
                <w:rFonts w:hint="eastAsia" w:ascii="宋体" w:hAnsi="宋体" w:eastAsia="宋体" w:cs="宋体"/>
                <w:sz w:val="16"/>
              </w:rPr>
              <w:t>年度资金总额：</w:t>
            </w:r>
          </w:p>
        </w:tc>
        <w:tc>
          <w:tcPr>
            <w:tcW w:w="912" w:type="dxa"/>
            <w:tcMar>
              <w:top w:w="0" w:type="dxa"/>
              <w:left w:w="0" w:type="dxa"/>
              <w:bottom w:w="0" w:type="dxa"/>
              <w:right w:w="0" w:type="dxa"/>
            </w:tcMar>
          </w:tcPr>
          <w:p>
            <w:pPr>
              <w:ind w:left="220"/>
            </w:pPr>
          </w:p>
        </w:tc>
        <w:tc>
          <w:tcPr>
            <w:tcW w:w="934" w:type="dxa"/>
            <w:tcMar>
              <w:top w:w="0" w:type="dxa"/>
              <w:left w:w="0" w:type="dxa"/>
              <w:bottom w:w="0" w:type="dxa"/>
              <w:right w:w="0" w:type="dxa"/>
            </w:tcMar>
          </w:tcPr>
          <w:p>
            <w:pPr>
              <w:ind w:left="220"/>
            </w:pPr>
          </w:p>
        </w:tc>
        <w:tc>
          <w:tcPr>
            <w:tcW w:w="1561" w:type="dxa"/>
            <w:gridSpan w:val="2"/>
            <w:tcMar>
              <w:top w:w="0" w:type="dxa"/>
              <w:left w:w="0" w:type="dxa"/>
              <w:bottom w:w="0" w:type="dxa"/>
              <w:right w:w="0" w:type="dxa"/>
            </w:tcMar>
          </w:tcPr>
          <w:p>
            <w:pPr>
              <w:ind w:left="620"/>
            </w:pPr>
          </w:p>
        </w:tc>
        <w:tc>
          <w:tcPr>
            <w:tcW w:w="749" w:type="dxa"/>
            <w:tcMar>
              <w:top w:w="0" w:type="dxa"/>
              <w:left w:w="0" w:type="dxa"/>
              <w:bottom w:w="0" w:type="dxa"/>
              <w:right w:w="0" w:type="dxa"/>
            </w:tcMar>
          </w:tcPr>
          <w:p>
            <w:pPr>
              <w:ind w:left="280"/>
            </w:pPr>
          </w:p>
        </w:tc>
        <w:tc>
          <w:tcPr>
            <w:tcW w:w="830" w:type="dxa"/>
            <w:tcMar>
              <w:top w:w="0" w:type="dxa"/>
              <w:left w:w="0" w:type="dxa"/>
              <w:bottom w:w="0" w:type="dxa"/>
              <w:right w:w="0" w:type="dxa"/>
            </w:tcMar>
          </w:tcPr>
          <w:p>
            <w:pPr>
              <w:ind w:left="260"/>
            </w:pPr>
          </w:p>
        </w:tc>
        <w:tc>
          <w:tcPr>
            <w:tcW w:w="977" w:type="dxa"/>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ind w:left="380"/>
            </w:pPr>
            <w:r>
              <w:rPr>
                <w:rFonts w:hint="eastAsia" w:ascii="宋体" w:hAnsi="宋体" w:eastAsia="宋体" w:cs="宋体"/>
                <w:sz w:val="16"/>
              </w:rPr>
              <w:t>其中：当年财政拨款</w:t>
            </w:r>
          </w:p>
        </w:tc>
        <w:tc>
          <w:tcPr>
            <w:tcW w:w="912" w:type="dxa"/>
            <w:tcMar>
              <w:top w:w="0" w:type="dxa"/>
              <w:left w:w="0" w:type="dxa"/>
              <w:bottom w:w="0" w:type="dxa"/>
              <w:right w:w="0" w:type="dxa"/>
            </w:tcMar>
          </w:tcPr>
          <w:p>
            <w:pPr>
              <w:ind w:left="220"/>
            </w:pPr>
          </w:p>
        </w:tc>
        <w:tc>
          <w:tcPr>
            <w:tcW w:w="934" w:type="dxa"/>
            <w:tcMar>
              <w:top w:w="0" w:type="dxa"/>
              <w:left w:w="0" w:type="dxa"/>
              <w:bottom w:w="0" w:type="dxa"/>
              <w:right w:w="0" w:type="dxa"/>
            </w:tcMar>
          </w:tcPr>
          <w:p/>
        </w:tc>
        <w:tc>
          <w:tcPr>
            <w:tcW w:w="1561" w:type="dxa"/>
            <w:gridSpan w:val="2"/>
            <w:tcMar>
              <w:top w:w="0" w:type="dxa"/>
              <w:left w:w="0" w:type="dxa"/>
              <w:bottom w:w="0" w:type="dxa"/>
              <w:right w:w="0" w:type="dxa"/>
            </w:tcMar>
          </w:tcPr>
          <w:p/>
        </w:tc>
        <w:tc>
          <w:tcPr>
            <w:tcW w:w="749" w:type="dxa"/>
            <w:tcMar>
              <w:top w:w="0" w:type="dxa"/>
              <w:left w:w="0" w:type="dxa"/>
              <w:bottom w:w="0" w:type="dxa"/>
              <w:right w:w="0" w:type="dxa"/>
            </w:tcMar>
          </w:tcPr>
          <w:p>
            <w:pPr>
              <w:spacing w:before="60"/>
              <w:ind w:left="280"/>
            </w:pPr>
          </w:p>
        </w:tc>
        <w:tc>
          <w:tcPr>
            <w:tcW w:w="830" w:type="dxa"/>
            <w:tcMar>
              <w:top w:w="0" w:type="dxa"/>
              <w:left w:w="0" w:type="dxa"/>
              <w:bottom w:w="0" w:type="dxa"/>
              <w:right w:w="0" w:type="dxa"/>
            </w:tcMar>
          </w:tcPr>
          <w:p/>
        </w:tc>
        <w:tc>
          <w:tcPr>
            <w:tcW w:w="977" w:type="dxa"/>
            <w:tcMar>
              <w:top w:w="0" w:type="dxa"/>
              <w:left w:w="0" w:type="dxa"/>
              <w:bottom w:w="0" w:type="dxa"/>
              <w:right w:w="0" w:type="dxa"/>
            </w:tcMar>
          </w:tcPr>
          <w:p>
            <w:pPr>
              <w:spacing w:before="60"/>
              <w:ind w:left="3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ind w:left="680"/>
            </w:pPr>
            <w:r>
              <w:rPr>
                <w:rFonts w:hint="eastAsia" w:ascii="宋体" w:hAnsi="宋体" w:eastAsia="宋体" w:cs="宋体"/>
                <w:sz w:val="16"/>
              </w:rPr>
              <w:t>上年结转资金</w:t>
            </w:r>
          </w:p>
        </w:tc>
        <w:tc>
          <w:tcPr>
            <w:tcW w:w="912" w:type="dxa"/>
            <w:tcMar>
              <w:top w:w="0" w:type="dxa"/>
              <w:left w:w="0" w:type="dxa"/>
              <w:bottom w:w="0" w:type="dxa"/>
              <w:right w:w="0" w:type="dxa"/>
            </w:tcMar>
          </w:tcPr>
          <w:p/>
        </w:tc>
        <w:tc>
          <w:tcPr>
            <w:tcW w:w="934" w:type="dxa"/>
            <w:tcMar>
              <w:top w:w="0" w:type="dxa"/>
              <w:left w:w="0" w:type="dxa"/>
              <w:bottom w:w="0" w:type="dxa"/>
              <w:right w:w="0" w:type="dxa"/>
            </w:tcMar>
          </w:tcPr>
          <w:p/>
        </w:tc>
        <w:tc>
          <w:tcPr>
            <w:tcW w:w="1561" w:type="dxa"/>
            <w:gridSpan w:val="2"/>
            <w:tcMar>
              <w:top w:w="0" w:type="dxa"/>
              <w:left w:w="0" w:type="dxa"/>
              <w:bottom w:w="0" w:type="dxa"/>
              <w:right w:w="0" w:type="dxa"/>
            </w:tcMar>
          </w:tcPr>
          <w:p/>
        </w:tc>
        <w:tc>
          <w:tcPr>
            <w:tcW w:w="749" w:type="dxa"/>
            <w:tcMar>
              <w:top w:w="0" w:type="dxa"/>
              <w:left w:w="0" w:type="dxa"/>
              <w:bottom w:w="0" w:type="dxa"/>
              <w:right w:w="0" w:type="dxa"/>
            </w:tcMar>
          </w:tcPr>
          <w:p>
            <w:pPr>
              <w:spacing w:before="60"/>
              <w:ind w:left="280"/>
            </w:pPr>
          </w:p>
        </w:tc>
        <w:tc>
          <w:tcPr>
            <w:tcW w:w="830" w:type="dxa"/>
            <w:tcMar>
              <w:top w:w="0" w:type="dxa"/>
              <w:left w:w="0" w:type="dxa"/>
              <w:bottom w:w="0" w:type="dxa"/>
              <w:right w:w="0" w:type="dxa"/>
            </w:tcMar>
          </w:tcPr>
          <w:p/>
        </w:tc>
        <w:tc>
          <w:tcPr>
            <w:tcW w:w="977" w:type="dxa"/>
            <w:tcMar>
              <w:top w:w="0" w:type="dxa"/>
              <w:left w:w="0" w:type="dxa"/>
              <w:bottom w:w="0" w:type="dxa"/>
              <w:right w:w="0" w:type="dxa"/>
            </w:tcMar>
          </w:tcPr>
          <w:p>
            <w:pPr>
              <w:spacing w:before="60"/>
              <w:ind w:left="3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ind w:left="840"/>
            </w:pPr>
            <w:r>
              <w:rPr>
                <w:rFonts w:hint="eastAsia" w:ascii="宋体" w:hAnsi="宋体" w:eastAsia="宋体" w:cs="宋体"/>
                <w:sz w:val="16"/>
              </w:rPr>
              <w:t>其他资金</w:t>
            </w:r>
          </w:p>
        </w:tc>
        <w:tc>
          <w:tcPr>
            <w:tcW w:w="912" w:type="dxa"/>
            <w:tcMar>
              <w:top w:w="0" w:type="dxa"/>
              <w:left w:w="0" w:type="dxa"/>
              <w:bottom w:w="0" w:type="dxa"/>
              <w:right w:w="0" w:type="dxa"/>
            </w:tcMar>
          </w:tcPr>
          <w:p/>
        </w:tc>
        <w:tc>
          <w:tcPr>
            <w:tcW w:w="934" w:type="dxa"/>
            <w:tcMar>
              <w:top w:w="0" w:type="dxa"/>
              <w:left w:w="0" w:type="dxa"/>
              <w:bottom w:w="0" w:type="dxa"/>
              <w:right w:w="0" w:type="dxa"/>
            </w:tcMar>
          </w:tcPr>
          <w:p/>
        </w:tc>
        <w:tc>
          <w:tcPr>
            <w:tcW w:w="1561" w:type="dxa"/>
            <w:gridSpan w:val="2"/>
            <w:tcMar>
              <w:top w:w="0" w:type="dxa"/>
              <w:left w:w="0" w:type="dxa"/>
              <w:bottom w:w="0" w:type="dxa"/>
              <w:right w:w="0" w:type="dxa"/>
            </w:tcMar>
          </w:tcPr>
          <w:p/>
        </w:tc>
        <w:tc>
          <w:tcPr>
            <w:tcW w:w="749" w:type="dxa"/>
            <w:tcMar>
              <w:top w:w="0" w:type="dxa"/>
              <w:left w:w="0" w:type="dxa"/>
              <w:bottom w:w="0" w:type="dxa"/>
              <w:right w:w="0" w:type="dxa"/>
            </w:tcMar>
          </w:tcPr>
          <w:p>
            <w:pPr>
              <w:spacing w:before="60"/>
              <w:ind w:left="280"/>
            </w:pPr>
          </w:p>
        </w:tc>
        <w:tc>
          <w:tcPr>
            <w:tcW w:w="830" w:type="dxa"/>
            <w:tcMar>
              <w:top w:w="0" w:type="dxa"/>
              <w:left w:w="0" w:type="dxa"/>
              <w:bottom w:w="0" w:type="dxa"/>
              <w:right w:w="0" w:type="dxa"/>
            </w:tcMar>
          </w:tcPr>
          <w:p/>
        </w:tc>
        <w:tc>
          <w:tcPr>
            <w:tcW w:w="977" w:type="dxa"/>
            <w:tcMar>
              <w:top w:w="0" w:type="dxa"/>
              <w:left w:w="0" w:type="dxa"/>
              <w:bottom w:w="0" w:type="dxa"/>
              <w:right w:w="0" w:type="dxa"/>
            </w:tcMar>
          </w:tcPr>
          <w:p>
            <w:pPr>
              <w:spacing w:before="60"/>
              <w:ind w:left="3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0" w:hRule="exact"/>
        </w:trPr>
        <w:tc>
          <w:tcPr>
            <w:tcW w:w="466" w:type="dxa"/>
            <w:vMerge w:val="restart"/>
            <w:tcMar>
              <w:top w:w="0" w:type="dxa"/>
              <w:left w:w="0" w:type="dxa"/>
              <w:bottom w:w="0" w:type="dxa"/>
              <w:right w:w="0" w:type="dxa"/>
            </w:tcMar>
          </w:tcPr>
          <w:p>
            <w:pPr>
              <w:spacing w:before="40"/>
            </w:pPr>
            <w:r>
              <w:rPr>
                <w:rFonts w:hint="eastAsia" w:ascii="宋体" w:hAnsi="宋体" w:eastAsia="宋体" w:cs="宋体"/>
                <w:sz w:val="16"/>
              </w:rPr>
              <w:t>年度</w:t>
            </w:r>
          </w:p>
          <w:p>
            <w:r>
              <w:rPr>
                <w:rFonts w:hint="eastAsia" w:ascii="宋体" w:hAnsi="宋体" w:eastAsia="宋体" w:cs="宋体"/>
                <w:sz w:val="16"/>
              </w:rPr>
              <w:t>总体</w:t>
            </w:r>
          </w:p>
          <w:p>
            <w:r>
              <w:rPr>
                <w:rFonts w:hint="eastAsia" w:ascii="宋体" w:hAnsi="宋体" w:eastAsia="宋体" w:cs="宋体"/>
                <w:sz w:val="16"/>
              </w:rPr>
              <w:t>目标</w:t>
            </w:r>
          </w:p>
        </w:tc>
        <w:tc>
          <w:tcPr>
            <w:tcW w:w="5516" w:type="dxa"/>
            <w:gridSpan w:val="5"/>
            <w:tcMar>
              <w:top w:w="0" w:type="dxa"/>
              <w:left w:w="0" w:type="dxa"/>
              <w:bottom w:w="0" w:type="dxa"/>
              <w:right w:w="0" w:type="dxa"/>
            </w:tcMar>
          </w:tcPr>
          <w:p>
            <w:pPr>
              <w:ind w:left="2380"/>
            </w:pPr>
            <w:r>
              <w:rPr>
                <w:rFonts w:hint="eastAsia" w:ascii="宋体" w:hAnsi="宋体" w:eastAsia="宋体" w:cs="宋体"/>
                <w:sz w:val="16"/>
              </w:rPr>
              <w:t>预期目标</w:t>
            </w:r>
          </w:p>
        </w:tc>
        <w:tc>
          <w:tcPr>
            <w:tcW w:w="4117" w:type="dxa"/>
            <w:gridSpan w:val="5"/>
            <w:tcMar>
              <w:top w:w="0" w:type="dxa"/>
              <w:left w:w="0" w:type="dxa"/>
              <w:bottom w:w="0" w:type="dxa"/>
              <w:right w:w="0" w:type="dxa"/>
            </w:tcMar>
          </w:tcPr>
          <w:p>
            <w:pPr>
              <w:ind w:left="1520"/>
            </w:pPr>
            <w:r>
              <w:rPr>
                <w:rFonts w:hint="eastAsia" w:ascii="宋体" w:hAnsi="宋体" w:eastAsia="宋体" w:cs="宋体"/>
                <w:sz w:val="16"/>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41" w:hRule="exact"/>
        </w:trPr>
        <w:tc>
          <w:tcPr>
            <w:tcW w:w="466" w:type="dxa"/>
            <w:vMerge w:val="continue"/>
            <w:tcMar>
              <w:top w:w="0" w:type="dxa"/>
              <w:left w:w="0" w:type="dxa"/>
              <w:bottom w:w="0" w:type="dxa"/>
              <w:right w:w="0" w:type="dxa"/>
            </w:tcMar>
          </w:tcPr>
          <w:p/>
        </w:tc>
        <w:tc>
          <w:tcPr>
            <w:tcW w:w="5516" w:type="dxa"/>
            <w:gridSpan w:val="5"/>
            <w:tcMar>
              <w:top w:w="0" w:type="dxa"/>
              <w:left w:w="0" w:type="dxa"/>
              <w:bottom w:w="0" w:type="dxa"/>
              <w:right w:w="0" w:type="dxa"/>
            </w:tcMar>
          </w:tcPr>
          <w:p>
            <w:pPr>
              <w:spacing w:before="140"/>
              <w:ind w:left="1140"/>
            </w:pPr>
          </w:p>
        </w:tc>
        <w:tc>
          <w:tcPr>
            <w:tcW w:w="4117" w:type="dxa"/>
            <w:gridSpan w:val="5"/>
            <w:tcMar>
              <w:top w:w="0" w:type="dxa"/>
              <w:left w:w="0" w:type="dxa"/>
              <w:bottom w:w="0" w:type="dxa"/>
              <w:right w:w="0" w:type="dxa"/>
            </w:tcMar>
          </w:tcPr>
          <w:p>
            <w:pPr>
              <w:spacing w:before="140"/>
              <w:ind w:left="44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77" w:hRule="exact"/>
        </w:trPr>
        <w:tc>
          <w:tcPr>
            <w:tcW w:w="466" w:type="dxa"/>
            <w:vMerge w:val="restart"/>
            <w:tcMar>
              <w:top w:w="0" w:type="dxa"/>
              <w:left w:w="0" w:type="dxa"/>
              <w:bottom w:w="0" w:type="dxa"/>
              <w:right w:w="0" w:type="dxa"/>
            </w:tcMar>
          </w:tcPr>
          <w:p>
            <w:pPr>
              <w:spacing w:before="2780"/>
              <w:ind w:left="120"/>
            </w:pPr>
            <w:r>
              <w:rPr>
                <w:rFonts w:hint="eastAsia" w:ascii="宋体" w:hAnsi="宋体" w:eastAsia="宋体" w:cs="宋体"/>
                <w:sz w:val="16"/>
              </w:rPr>
              <w:t>绩</w:t>
            </w:r>
          </w:p>
          <w:p>
            <w:pPr>
              <w:ind w:left="120"/>
            </w:pPr>
            <w:r>
              <w:rPr>
                <w:rFonts w:hint="eastAsia" w:ascii="宋体" w:hAnsi="宋体" w:eastAsia="宋体" w:cs="宋体"/>
                <w:sz w:val="16"/>
              </w:rPr>
              <w:t>效</w:t>
            </w:r>
          </w:p>
          <w:p>
            <w:pPr>
              <w:ind w:left="120"/>
            </w:pPr>
            <w:r>
              <w:rPr>
                <w:rFonts w:hint="eastAsia" w:ascii="宋体" w:hAnsi="宋体" w:eastAsia="宋体" w:cs="宋体"/>
                <w:sz w:val="16"/>
              </w:rPr>
              <w:t>指</w:t>
            </w:r>
          </w:p>
          <w:p>
            <w:pPr>
              <w:ind w:left="120"/>
            </w:pPr>
            <w:r>
              <w:rPr>
                <w:rFonts w:hint="eastAsia" w:ascii="宋体" w:hAnsi="宋体" w:eastAsia="宋体" w:cs="宋体"/>
                <w:sz w:val="16"/>
              </w:rPr>
              <w:t>标</w:t>
            </w:r>
          </w:p>
        </w:tc>
        <w:tc>
          <w:tcPr>
            <w:tcW w:w="445" w:type="dxa"/>
            <w:tcMar>
              <w:top w:w="0" w:type="dxa"/>
              <w:left w:w="0" w:type="dxa"/>
              <w:bottom w:w="0" w:type="dxa"/>
              <w:right w:w="0" w:type="dxa"/>
            </w:tcMar>
          </w:tcPr>
          <w:p>
            <w:r>
              <w:rPr>
                <w:rFonts w:hint="eastAsia" w:ascii="宋体" w:hAnsi="宋体" w:eastAsia="宋体" w:cs="宋体"/>
                <w:sz w:val="16"/>
              </w:rPr>
              <w:t>一级</w:t>
            </w:r>
          </w:p>
          <w:p>
            <w:r>
              <w:rPr>
                <w:rFonts w:hint="eastAsia" w:ascii="宋体" w:hAnsi="宋体" w:eastAsia="宋体" w:cs="宋体"/>
                <w:sz w:val="16"/>
              </w:rPr>
              <w:t>指标</w:t>
            </w:r>
          </w:p>
        </w:tc>
        <w:tc>
          <w:tcPr>
            <w:tcW w:w="812" w:type="dxa"/>
            <w:tcMar>
              <w:top w:w="0" w:type="dxa"/>
              <w:left w:w="0" w:type="dxa"/>
              <w:bottom w:w="0" w:type="dxa"/>
              <w:right w:w="0" w:type="dxa"/>
            </w:tcMar>
            <w:vAlign w:val="center"/>
          </w:tcPr>
          <w:p>
            <w:pPr>
              <w:spacing w:before="60"/>
              <w:jc w:val="center"/>
            </w:pPr>
            <w:r>
              <w:rPr>
                <w:rFonts w:hint="eastAsia" w:ascii="宋体" w:hAnsi="宋体" w:eastAsia="宋体" w:cs="宋体"/>
                <w:sz w:val="16"/>
              </w:rPr>
              <w:t>二级指标</w:t>
            </w:r>
          </w:p>
        </w:tc>
        <w:tc>
          <w:tcPr>
            <w:tcW w:w="3325" w:type="dxa"/>
            <w:gridSpan w:val="2"/>
            <w:tcMar>
              <w:top w:w="0" w:type="dxa"/>
              <w:left w:w="0" w:type="dxa"/>
              <w:bottom w:w="0" w:type="dxa"/>
              <w:right w:w="0" w:type="dxa"/>
            </w:tcMar>
            <w:vAlign w:val="center"/>
          </w:tcPr>
          <w:p>
            <w:pPr>
              <w:spacing w:before="60"/>
              <w:ind w:left="1300"/>
              <w:jc w:val="center"/>
            </w:pPr>
            <w:r>
              <w:rPr>
                <w:rFonts w:hint="eastAsia" w:ascii="宋体" w:hAnsi="宋体" w:eastAsia="宋体" w:cs="宋体"/>
                <w:sz w:val="16"/>
              </w:rPr>
              <w:t>三级指标</w:t>
            </w:r>
          </w:p>
        </w:tc>
        <w:tc>
          <w:tcPr>
            <w:tcW w:w="934" w:type="dxa"/>
            <w:tcMar>
              <w:top w:w="0" w:type="dxa"/>
              <w:left w:w="0" w:type="dxa"/>
              <w:bottom w:w="0" w:type="dxa"/>
              <w:right w:w="0" w:type="dxa"/>
            </w:tcMar>
            <w:vAlign w:val="center"/>
          </w:tcPr>
          <w:p>
            <w:pPr>
              <w:spacing w:before="60"/>
              <w:jc w:val="center"/>
            </w:pPr>
            <w:r>
              <w:rPr>
                <w:rFonts w:hint="eastAsia" w:ascii="宋体" w:hAnsi="宋体" w:eastAsia="宋体" w:cs="宋体"/>
                <w:sz w:val="16"/>
              </w:rPr>
              <w:t>年度指标值</w:t>
            </w:r>
          </w:p>
        </w:tc>
        <w:tc>
          <w:tcPr>
            <w:tcW w:w="952" w:type="dxa"/>
            <w:tcMar>
              <w:top w:w="0" w:type="dxa"/>
              <w:left w:w="0" w:type="dxa"/>
              <w:bottom w:w="0" w:type="dxa"/>
              <w:right w:w="0" w:type="dxa"/>
            </w:tcMar>
            <w:vAlign w:val="center"/>
          </w:tcPr>
          <w:p>
            <w:pPr>
              <w:spacing w:before="60"/>
              <w:jc w:val="center"/>
            </w:pPr>
            <w:r>
              <w:rPr>
                <w:rFonts w:hint="eastAsia" w:ascii="宋体" w:hAnsi="宋体" w:eastAsia="宋体" w:cs="宋体"/>
                <w:sz w:val="16"/>
              </w:rPr>
              <w:t>实际完成值</w:t>
            </w:r>
          </w:p>
        </w:tc>
        <w:tc>
          <w:tcPr>
            <w:tcW w:w="609" w:type="dxa"/>
            <w:tcMar>
              <w:top w:w="0" w:type="dxa"/>
              <w:left w:w="0" w:type="dxa"/>
              <w:bottom w:w="0" w:type="dxa"/>
              <w:right w:w="0" w:type="dxa"/>
            </w:tcMar>
            <w:vAlign w:val="center"/>
          </w:tcPr>
          <w:p>
            <w:pPr>
              <w:spacing w:before="80"/>
              <w:ind w:left="100"/>
              <w:jc w:val="center"/>
            </w:pPr>
            <w:r>
              <w:rPr>
                <w:rFonts w:hint="eastAsia" w:ascii="宋体" w:hAnsi="宋体" w:eastAsia="宋体" w:cs="宋体"/>
                <w:sz w:val="16"/>
              </w:rPr>
              <w:t>分值</w:t>
            </w:r>
          </w:p>
        </w:tc>
        <w:tc>
          <w:tcPr>
            <w:tcW w:w="749" w:type="dxa"/>
            <w:tcMar>
              <w:top w:w="0" w:type="dxa"/>
              <w:left w:w="0" w:type="dxa"/>
              <w:bottom w:w="0" w:type="dxa"/>
              <w:right w:w="0" w:type="dxa"/>
            </w:tcMar>
            <w:vAlign w:val="center"/>
          </w:tcPr>
          <w:p>
            <w:pPr>
              <w:spacing w:before="80"/>
              <w:ind w:left="180"/>
              <w:jc w:val="center"/>
            </w:pPr>
            <w:r>
              <w:rPr>
                <w:rFonts w:hint="eastAsia" w:ascii="宋体" w:hAnsi="宋体" w:eastAsia="宋体" w:cs="宋体"/>
                <w:sz w:val="16"/>
              </w:rPr>
              <w:t>得分</w:t>
            </w:r>
          </w:p>
        </w:tc>
        <w:tc>
          <w:tcPr>
            <w:tcW w:w="1807" w:type="dxa"/>
            <w:gridSpan w:val="2"/>
            <w:tcMar>
              <w:top w:w="0" w:type="dxa"/>
              <w:left w:w="0" w:type="dxa"/>
              <w:bottom w:w="0" w:type="dxa"/>
              <w:right w:w="0" w:type="dxa"/>
            </w:tcMar>
            <w:vAlign w:val="center"/>
          </w:tcPr>
          <w:p>
            <w:pPr>
              <w:ind w:left="460"/>
              <w:jc w:val="center"/>
            </w:pPr>
            <w:r>
              <w:rPr>
                <w:rFonts w:hint="eastAsia" w:ascii="宋体" w:hAnsi="宋体" w:eastAsia="宋体" w:cs="宋体"/>
                <w:sz w:val="16"/>
              </w:rPr>
              <w:t>未完成原因分析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restart"/>
            <w:tcMar>
              <w:top w:w="0" w:type="dxa"/>
              <w:left w:w="0" w:type="dxa"/>
              <w:bottom w:w="0" w:type="dxa"/>
              <w:right w:w="0" w:type="dxa"/>
            </w:tcMar>
          </w:tcPr>
          <w:p>
            <w:pPr>
              <w:spacing w:before="820"/>
              <w:ind w:left="120"/>
            </w:pPr>
            <w:r>
              <w:rPr>
                <w:rFonts w:hint="eastAsia" w:ascii="宋体" w:hAnsi="宋体" w:eastAsia="宋体" w:cs="宋体"/>
                <w:sz w:val="16"/>
              </w:rPr>
              <w:t>产</w:t>
            </w:r>
          </w:p>
          <w:p>
            <w:pPr>
              <w:ind w:left="120"/>
            </w:pPr>
            <w:r>
              <w:rPr>
                <w:rFonts w:hint="eastAsia" w:ascii="宋体" w:hAnsi="宋体" w:eastAsia="宋体" w:cs="宋体"/>
                <w:sz w:val="16"/>
              </w:rPr>
              <w:t>出</w:t>
            </w:r>
          </w:p>
          <w:p>
            <w:pPr>
              <w:ind w:left="120"/>
            </w:pPr>
            <w:r>
              <w:rPr>
                <w:rFonts w:hint="eastAsia" w:ascii="宋体" w:hAnsi="宋体" w:eastAsia="宋体" w:cs="宋体"/>
                <w:sz w:val="16"/>
              </w:rPr>
              <w:t>指</w:t>
            </w:r>
          </w:p>
          <w:p>
            <w:pPr>
              <w:ind w:left="120"/>
            </w:pPr>
            <w:r>
              <w:rPr>
                <w:rFonts w:hint="eastAsia" w:ascii="宋体" w:hAnsi="宋体" w:eastAsia="宋体" w:cs="宋体"/>
                <w:sz w:val="16"/>
              </w:rPr>
              <w:t>标</w:t>
            </w:r>
          </w:p>
          <w:p>
            <w:r>
              <w:rPr>
                <w:rFonts w:hint="eastAsia" w:ascii="宋体" w:hAnsi="宋体" w:eastAsia="宋体" w:cs="宋体"/>
                <w:sz w:val="16"/>
              </w:rPr>
              <w:t>（40</w:t>
            </w:r>
          </w:p>
          <w:p>
            <w:r>
              <w:rPr>
                <w:rFonts w:hint="eastAsia" w:ascii="宋体" w:hAnsi="宋体" w:eastAsia="宋体" w:cs="宋体"/>
                <w:sz w:val="16"/>
              </w:rPr>
              <w:t>分）</w:t>
            </w:r>
          </w:p>
        </w:tc>
        <w:tc>
          <w:tcPr>
            <w:tcW w:w="812" w:type="dxa"/>
            <w:vMerge w:val="restart"/>
            <w:tcMar>
              <w:top w:w="0" w:type="dxa"/>
              <w:left w:w="0" w:type="dxa"/>
              <w:bottom w:w="0" w:type="dxa"/>
              <w:right w:w="0" w:type="dxa"/>
            </w:tcMar>
          </w:tcPr>
          <w:p>
            <w:pPr>
              <w:spacing w:before="220"/>
            </w:pPr>
            <w:r>
              <w:rPr>
                <w:rFonts w:hint="eastAsia" w:ascii="宋体" w:hAnsi="宋体" w:eastAsia="宋体" w:cs="宋体"/>
                <w:sz w:val="16"/>
              </w:rPr>
              <w:t>数量指标</w:t>
            </w:r>
          </w:p>
        </w:tc>
        <w:tc>
          <w:tcPr>
            <w:tcW w:w="3325" w:type="dxa"/>
            <w:gridSpan w:val="2"/>
            <w:tcMar>
              <w:top w:w="0" w:type="dxa"/>
              <w:left w:w="0" w:type="dxa"/>
              <w:bottom w:w="0" w:type="dxa"/>
              <w:right w:w="0" w:type="dxa"/>
            </w:tcMar>
          </w:tcPr>
          <w:p/>
        </w:tc>
        <w:tc>
          <w:tcPr>
            <w:tcW w:w="934" w:type="dxa"/>
            <w:tcMar>
              <w:top w:w="0" w:type="dxa"/>
              <w:left w:w="0" w:type="dxa"/>
              <w:bottom w:w="0" w:type="dxa"/>
              <w:right w:w="0" w:type="dxa"/>
            </w:tcMar>
          </w:tcPr>
          <w:p/>
        </w:tc>
        <w:tc>
          <w:tcPr>
            <w:tcW w:w="952" w:type="dxa"/>
            <w:tcMar>
              <w:top w:w="0" w:type="dxa"/>
              <w:left w:w="0" w:type="dxa"/>
              <w:bottom w:w="0" w:type="dxa"/>
              <w:right w:w="0" w:type="dxa"/>
            </w:tcMar>
          </w:tcPr>
          <w:p/>
        </w:tc>
        <w:tc>
          <w:tcPr>
            <w:tcW w:w="609" w:type="dxa"/>
            <w:tcMar>
              <w:top w:w="0" w:type="dxa"/>
              <w:left w:w="0" w:type="dxa"/>
              <w:bottom w:w="0" w:type="dxa"/>
              <w:right w:w="0" w:type="dxa"/>
            </w:tcMar>
          </w:tcPr>
          <w:p>
            <w:pPr>
              <w:ind w:left="240"/>
            </w:pPr>
          </w:p>
        </w:tc>
        <w:tc>
          <w:tcPr>
            <w:tcW w:w="749" w:type="dxa"/>
            <w:tcMar>
              <w:top w:w="0" w:type="dxa"/>
              <w:left w:w="0" w:type="dxa"/>
              <w:bottom w:w="0" w:type="dxa"/>
              <w:right w:w="0" w:type="dxa"/>
            </w:tcMar>
          </w:tc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tc>
        <w:tc>
          <w:tcPr>
            <w:tcW w:w="934" w:type="dxa"/>
            <w:tcMar>
              <w:top w:w="0" w:type="dxa"/>
              <w:left w:w="0" w:type="dxa"/>
              <w:bottom w:w="0" w:type="dxa"/>
              <w:right w:w="0" w:type="dxa"/>
            </w:tcMar>
          </w:tcPr>
          <w:p/>
        </w:tc>
        <w:tc>
          <w:tcPr>
            <w:tcW w:w="952" w:type="dxa"/>
            <w:tcMar>
              <w:top w:w="0" w:type="dxa"/>
              <w:left w:w="0" w:type="dxa"/>
              <w:bottom w:w="0" w:type="dxa"/>
              <w:right w:w="0" w:type="dxa"/>
            </w:tcMar>
          </w:tcPr>
          <w:p/>
        </w:tc>
        <w:tc>
          <w:tcPr>
            <w:tcW w:w="609" w:type="dxa"/>
            <w:tcMar>
              <w:top w:w="0" w:type="dxa"/>
              <w:left w:w="0" w:type="dxa"/>
              <w:bottom w:w="0" w:type="dxa"/>
              <w:right w:w="0" w:type="dxa"/>
            </w:tcMar>
          </w:tcPr>
          <w:p>
            <w:pPr>
              <w:ind w:left="240"/>
            </w:pPr>
          </w:p>
        </w:tc>
        <w:tc>
          <w:tcPr>
            <w:tcW w:w="749" w:type="dxa"/>
            <w:tcMar>
              <w:top w:w="0" w:type="dxa"/>
              <w:left w:w="0" w:type="dxa"/>
              <w:bottom w:w="0" w:type="dxa"/>
              <w:right w:w="0" w:type="dxa"/>
            </w:tcMar>
          </w:tc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tc>
        <w:tc>
          <w:tcPr>
            <w:tcW w:w="934" w:type="dxa"/>
            <w:tcMar>
              <w:top w:w="0" w:type="dxa"/>
              <w:left w:w="0" w:type="dxa"/>
              <w:bottom w:w="0" w:type="dxa"/>
              <w:right w:w="0" w:type="dxa"/>
            </w:tcMar>
          </w:tcPr>
          <w:p/>
        </w:tc>
        <w:tc>
          <w:tcPr>
            <w:tcW w:w="952" w:type="dxa"/>
            <w:tcMar>
              <w:top w:w="0" w:type="dxa"/>
              <w:left w:w="0" w:type="dxa"/>
              <w:bottom w:w="0" w:type="dxa"/>
              <w:right w:w="0" w:type="dxa"/>
            </w:tcMar>
          </w:tcPr>
          <w:p/>
        </w:tc>
        <w:tc>
          <w:tcPr>
            <w:tcW w:w="609" w:type="dxa"/>
            <w:tcMar>
              <w:top w:w="0" w:type="dxa"/>
              <w:left w:w="0" w:type="dxa"/>
              <w:bottom w:w="0" w:type="dxa"/>
              <w:right w:w="0" w:type="dxa"/>
            </w:tcMar>
          </w:tcPr>
          <w:p>
            <w:pPr>
              <w:ind w:left="240"/>
            </w:pPr>
          </w:p>
        </w:tc>
        <w:tc>
          <w:tcPr>
            <w:tcW w:w="749" w:type="dxa"/>
            <w:tcMar>
              <w:top w:w="0" w:type="dxa"/>
              <w:left w:w="0" w:type="dxa"/>
              <w:bottom w:w="0" w:type="dxa"/>
              <w:right w:w="0" w:type="dxa"/>
            </w:tcMar>
          </w:tc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7"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160"/>
            </w:pPr>
            <w:r>
              <w:rPr>
                <w:rFonts w:hint="eastAsia" w:ascii="宋体" w:hAnsi="宋体" w:eastAsia="宋体" w:cs="宋体"/>
                <w:sz w:val="16"/>
              </w:rPr>
              <w:t>质量指标</w:t>
            </w:r>
          </w:p>
        </w:tc>
        <w:tc>
          <w:tcPr>
            <w:tcW w:w="3325" w:type="dxa"/>
            <w:gridSpan w:val="2"/>
            <w:tcMar>
              <w:top w:w="0" w:type="dxa"/>
              <w:left w:w="0" w:type="dxa"/>
              <w:bottom w:w="0" w:type="dxa"/>
              <w:right w:w="0" w:type="dxa"/>
            </w:tcMar>
          </w:tcPr>
          <w:p/>
        </w:tc>
        <w:tc>
          <w:tcPr>
            <w:tcW w:w="934" w:type="dxa"/>
            <w:tcMar>
              <w:top w:w="0" w:type="dxa"/>
              <w:left w:w="0" w:type="dxa"/>
              <w:bottom w:w="0" w:type="dxa"/>
              <w:right w:w="0" w:type="dxa"/>
            </w:tcMar>
          </w:tcPr>
          <w:p>
            <w:pPr>
              <w:spacing w:before="60"/>
            </w:pPr>
          </w:p>
        </w:tc>
        <w:tc>
          <w:tcPr>
            <w:tcW w:w="952" w:type="dxa"/>
            <w:tcMar>
              <w:top w:w="0" w:type="dxa"/>
              <w:left w:w="0" w:type="dxa"/>
              <w:bottom w:w="0" w:type="dxa"/>
              <w:right w:w="0" w:type="dxa"/>
            </w:tcMar>
          </w:tcPr>
          <w:p>
            <w:pPr>
              <w:spacing w:before="60"/>
            </w:pPr>
          </w:p>
        </w:tc>
        <w:tc>
          <w:tcPr>
            <w:tcW w:w="609" w:type="dxa"/>
            <w:tcMar>
              <w:top w:w="0" w:type="dxa"/>
              <w:left w:w="0" w:type="dxa"/>
              <w:bottom w:w="0" w:type="dxa"/>
              <w:right w:w="0" w:type="dxa"/>
            </w:tcMar>
          </w:tcPr>
          <w:p>
            <w:pPr>
              <w:spacing w:before="80"/>
              <w:ind w:left="240"/>
            </w:pPr>
          </w:p>
        </w:tc>
        <w:tc>
          <w:tcPr>
            <w:tcW w:w="749" w:type="dxa"/>
            <w:tcMar>
              <w:top w:w="0" w:type="dxa"/>
              <w:left w:w="0" w:type="dxa"/>
              <w:bottom w:w="0" w:type="dxa"/>
              <w:right w:w="0" w:type="dxa"/>
            </w:tcMar>
          </w:tcPr>
          <w:p>
            <w:pPr>
              <w:spacing w:before="8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tc>
        <w:tc>
          <w:tcPr>
            <w:tcW w:w="934" w:type="dxa"/>
            <w:tcMar>
              <w:top w:w="0" w:type="dxa"/>
              <w:left w:w="0" w:type="dxa"/>
              <w:bottom w:w="0" w:type="dxa"/>
              <w:right w:w="0" w:type="dxa"/>
            </w:tcMar>
          </w:tcPr>
          <w:p/>
        </w:tc>
        <w:tc>
          <w:tcPr>
            <w:tcW w:w="952" w:type="dxa"/>
            <w:tcMar>
              <w:top w:w="0" w:type="dxa"/>
              <w:left w:w="0" w:type="dxa"/>
              <w:bottom w:w="0" w:type="dxa"/>
              <w:right w:w="0" w:type="dxa"/>
            </w:tcMar>
          </w:tcPr>
          <w:p/>
        </w:tc>
        <w:tc>
          <w:tcPr>
            <w:tcW w:w="609" w:type="dxa"/>
            <w:tcMar>
              <w:top w:w="0" w:type="dxa"/>
              <w:left w:w="0" w:type="dxa"/>
              <w:bottom w:w="0" w:type="dxa"/>
              <w:right w:w="0" w:type="dxa"/>
            </w:tcMar>
          </w:tcPr>
          <w:p>
            <w:pPr>
              <w:ind w:left="240"/>
            </w:pPr>
          </w:p>
        </w:tc>
        <w:tc>
          <w:tcPr>
            <w:tcW w:w="749" w:type="dxa"/>
            <w:tcMar>
              <w:top w:w="0" w:type="dxa"/>
              <w:left w:w="0" w:type="dxa"/>
              <w:bottom w:w="0" w:type="dxa"/>
              <w:right w:w="0" w:type="dxa"/>
            </w:tcMar>
          </w:tc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160"/>
            </w:pPr>
            <w:r>
              <w:rPr>
                <w:rFonts w:hint="eastAsia" w:ascii="宋体" w:hAnsi="宋体" w:eastAsia="宋体" w:cs="宋体"/>
                <w:sz w:val="16"/>
              </w:rPr>
              <w:t>时效指标</w:t>
            </w:r>
          </w:p>
        </w:tc>
        <w:tc>
          <w:tcPr>
            <w:tcW w:w="3325" w:type="dxa"/>
            <w:gridSpan w:val="2"/>
            <w:tcMar>
              <w:top w:w="0" w:type="dxa"/>
              <w:left w:w="0" w:type="dxa"/>
              <w:bottom w:w="0" w:type="dxa"/>
              <w:right w:w="0" w:type="dxa"/>
            </w:tcMar>
          </w:tcPr>
          <w:p/>
        </w:tc>
        <w:tc>
          <w:tcPr>
            <w:tcW w:w="934" w:type="dxa"/>
            <w:tcMar>
              <w:top w:w="0" w:type="dxa"/>
              <w:left w:w="0" w:type="dxa"/>
              <w:bottom w:w="0" w:type="dxa"/>
              <w:right w:w="0" w:type="dxa"/>
            </w:tcMar>
          </w:tcPr>
          <w:p>
            <w:pPr>
              <w:spacing w:before="40"/>
            </w:pPr>
          </w:p>
        </w:tc>
        <w:tc>
          <w:tcPr>
            <w:tcW w:w="952" w:type="dxa"/>
            <w:tcMar>
              <w:top w:w="0" w:type="dxa"/>
              <w:left w:w="0" w:type="dxa"/>
              <w:bottom w:w="0" w:type="dxa"/>
              <w:right w:w="0" w:type="dxa"/>
            </w:tcMar>
          </w:tcPr>
          <w:p>
            <w:pPr>
              <w:spacing w:before="60"/>
            </w:pPr>
          </w:p>
        </w:tc>
        <w:tc>
          <w:tcPr>
            <w:tcW w:w="609" w:type="dxa"/>
            <w:tcMar>
              <w:top w:w="0" w:type="dxa"/>
              <w:left w:w="0" w:type="dxa"/>
              <w:bottom w:w="0" w:type="dxa"/>
              <w:right w:w="0" w:type="dxa"/>
            </w:tcMar>
          </w:tcPr>
          <w:p>
            <w:pPr>
              <w:spacing w:before="40"/>
              <w:ind w:left="240"/>
            </w:pPr>
          </w:p>
        </w:tc>
        <w:tc>
          <w:tcPr>
            <w:tcW w:w="749" w:type="dxa"/>
            <w:tcMar>
              <w:top w:w="0" w:type="dxa"/>
              <w:left w:w="0" w:type="dxa"/>
              <w:bottom w:w="0" w:type="dxa"/>
              <w:right w:w="0" w:type="dxa"/>
            </w:tcMar>
          </w:tcPr>
          <w:p>
            <w:pPr>
              <w:spacing w:before="4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tc>
        <w:tc>
          <w:tcPr>
            <w:tcW w:w="934" w:type="dxa"/>
            <w:tcMar>
              <w:top w:w="0" w:type="dxa"/>
              <w:left w:w="0" w:type="dxa"/>
              <w:bottom w:w="0" w:type="dxa"/>
              <w:right w:w="0" w:type="dxa"/>
            </w:tcMar>
          </w:tcPr>
          <w:p/>
        </w:tc>
        <w:tc>
          <w:tcPr>
            <w:tcW w:w="952" w:type="dxa"/>
            <w:tcMar>
              <w:top w:w="0" w:type="dxa"/>
              <w:left w:w="0" w:type="dxa"/>
              <w:bottom w:w="0" w:type="dxa"/>
              <w:right w:w="0" w:type="dxa"/>
            </w:tcMar>
          </w:tcPr>
          <w:p/>
        </w:tc>
        <w:tc>
          <w:tcPr>
            <w:tcW w:w="609" w:type="dxa"/>
            <w:tcMar>
              <w:top w:w="0" w:type="dxa"/>
              <w:left w:w="0" w:type="dxa"/>
              <w:bottom w:w="0" w:type="dxa"/>
              <w:right w:w="0" w:type="dxa"/>
            </w:tcMar>
          </w:tcPr>
          <w:p>
            <w:pPr>
              <w:ind w:left="240"/>
            </w:pPr>
          </w:p>
        </w:tc>
        <w:tc>
          <w:tcPr>
            <w:tcW w:w="749" w:type="dxa"/>
            <w:tcMar>
              <w:top w:w="0" w:type="dxa"/>
              <w:left w:w="0" w:type="dxa"/>
              <w:bottom w:w="0" w:type="dxa"/>
              <w:right w:w="0" w:type="dxa"/>
            </w:tcMar>
          </w:tc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7"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260"/>
            </w:pPr>
            <w:r>
              <w:rPr>
                <w:rFonts w:hint="eastAsia" w:ascii="宋体" w:hAnsi="宋体" w:eastAsia="宋体" w:cs="宋体"/>
                <w:sz w:val="16"/>
              </w:rPr>
              <w:t>成本指标</w:t>
            </w:r>
          </w:p>
        </w:tc>
        <w:tc>
          <w:tcPr>
            <w:tcW w:w="3325" w:type="dxa"/>
            <w:gridSpan w:val="2"/>
            <w:tcMar>
              <w:top w:w="0" w:type="dxa"/>
              <w:left w:w="0" w:type="dxa"/>
              <w:bottom w:w="0" w:type="dxa"/>
              <w:right w:w="0" w:type="dxa"/>
            </w:tcMar>
          </w:tcPr>
          <w:p/>
        </w:tc>
        <w:tc>
          <w:tcPr>
            <w:tcW w:w="934" w:type="dxa"/>
            <w:tcMar>
              <w:top w:w="0" w:type="dxa"/>
              <w:left w:w="0" w:type="dxa"/>
              <w:bottom w:w="0" w:type="dxa"/>
              <w:right w:w="0" w:type="dxa"/>
            </w:tcMar>
          </w:tcPr>
          <w:p/>
        </w:tc>
        <w:tc>
          <w:tcPr>
            <w:tcW w:w="952" w:type="dxa"/>
            <w:tcMar>
              <w:top w:w="0" w:type="dxa"/>
              <w:left w:w="0" w:type="dxa"/>
              <w:bottom w:w="0" w:type="dxa"/>
              <w:right w:w="0" w:type="dxa"/>
            </w:tcMar>
          </w:tcPr>
          <w:p/>
        </w:tc>
        <w:tc>
          <w:tcPr>
            <w:tcW w:w="609" w:type="dxa"/>
            <w:tcMar>
              <w:top w:w="0" w:type="dxa"/>
              <w:left w:w="0" w:type="dxa"/>
              <w:bottom w:w="0" w:type="dxa"/>
              <w:right w:w="0" w:type="dxa"/>
            </w:tcMar>
          </w:tcPr>
          <w:p>
            <w:pPr>
              <w:ind w:left="240"/>
            </w:pPr>
          </w:p>
        </w:tc>
        <w:tc>
          <w:tcPr>
            <w:tcW w:w="749" w:type="dxa"/>
            <w:tcMar>
              <w:top w:w="0" w:type="dxa"/>
              <w:left w:w="0" w:type="dxa"/>
              <w:bottom w:w="0" w:type="dxa"/>
              <w:right w:w="0" w:type="dxa"/>
            </w:tcMar>
          </w:tc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38"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tc>
        <w:tc>
          <w:tcPr>
            <w:tcW w:w="934" w:type="dxa"/>
            <w:tcMar>
              <w:top w:w="0" w:type="dxa"/>
              <w:left w:w="0" w:type="dxa"/>
              <w:bottom w:w="0" w:type="dxa"/>
              <w:right w:w="0" w:type="dxa"/>
            </w:tcMar>
          </w:tcPr>
          <w:p/>
        </w:tc>
        <w:tc>
          <w:tcPr>
            <w:tcW w:w="952" w:type="dxa"/>
            <w:tcMar>
              <w:top w:w="0" w:type="dxa"/>
              <w:left w:w="0" w:type="dxa"/>
              <w:bottom w:w="0" w:type="dxa"/>
              <w:right w:w="0" w:type="dxa"/>
            </w:tcMar>
          </w:tcPr>
          <w:p/>
        </w:tc>
        <w:tc>
          <w:tcPr>
            <w:tcW w:w="609" w:type="dxa"/>
            <w:tcMar>
              <w:top w:w="0" w:type="dxa"/>
              <w:left w:w="0" w:type="dxa"/>
              <w:bottom w:w="0" w:type="dxa"/>
              <w:right w:w="0" w:type="dxa"/>
            </w:tcMar>
          </w:tcPr>
          <w:p>
            <w:pPr>
              <w:ind w:left="240"/>
            </w:pPr>
          </w:p>
        </w:tc>
        <w:tc>
          <w:tcPr>
            <w:tcW w:w="749" w:type="dxa"/>
            <w:tcMar>
              <w:top w:w="0" w:type="dxa"/>
              <w:left w:w="0" w:type="dxa"/>
              <w:bottom w:w="0" w:type="dxa"/>
              <w:right w:w="0" w:type="dxa"/>
            </w:tcMar>
          </w:tc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tc>
        <w:tc>
          <w:tcPr>
            <w:tcW w:w="934" w:type="dxa"/>
            <w:tcMar>
              <w:top w:w="0" w:type="dxa"/>
              <w:left w:w="0" w:type="dxa"/>
              <w:bottom w:w="0" w:type="dxa"/>
              <w:right w:w="0" w:type="dxa"/>
            </w:tcMar>
          </w:tcPr>
          <w:p/>
        </w:tc>
        <w:tc>
          <w:tcPr>
            <w:tcW w:w="952" w:type="dxa"/>
            <w:tcMar>
              <w:top w:w="0" w:type="dxa"/>
              <w:left w:w="0" w:type="dxa"/>
              <w:bottom w:w="0" w:type="dxa"/>
              <w:right w:w="0" w:type="dxa"/>
            </w:tcMar>
          </w:tcPr>
          <w:p/>
        </w:tc>
        <w:tc>
          <w:tcPr>
            <w:tcW w:w="609" w:type="dxa"/>
            <w:tcMar>
              <w:top w:w="0" w:type="dxa"/>
              <w:left w:w="0" w:type="dxa"/>
              <w:bottom w:w="0" w:type="dxa"/>
              <w:right w:w="0" w:type="dxa"/>
            </w:tcMar>
          </w:tcPr>
          <w:p>
            <w:pPr>
              <w:ind w:left="240"/>
            </w:pPr>
          </w:p>
        </w:tc>
        <w:tc>
          <w:tcPr>
            <w:tcW w:w="749" w:type="dxa"/>
            <w:tcMar>
              <w:top w:w="0" w:type="dxa"/>
              <w:left w:w="0" w:type="dxa"/>
              <w:bottom w:w="0" w:type="dxa"/>
              <w:right w:w="0" w:type="dxa"/>
            </w:tcMar>
          </w:tc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1" w:hRule="exact"/>
        </w:trPr>
        <w:tc>
          <w:tcPr>
            <w:tcW w:w="466" w:type="dxa"/>
            <w:vMerge w:val="continue"/>
            <w:tcMar>
              <w:top w:w="0" w:type="dxa"/>
              <w:left w:w="0" w:type="dxa"/>
              <w:bottom w:w="0" w:type="dxa"/>
              <w:right w:w="0" w:type="dxa"/>
            </w:tcMar>
          </w:tcPr>
          <w:p/>
        </w:tc>
        <w:tc>
          <w:tcPr>
            <w:tcW w:w="445" w:type="dxa"/>
            <w:vMerge w:val="restart"/>
            <w:tcMar>
              <w:top w:w="0" w:type="dxa"/>
              <w:left w:w="0" w:type="dxa"/>
              <w:bottom w:w="0" w:type="dxa"/>
              <w:right w:w="0" w:type="dxa"/>
            </w:tcMar>
          </w:tcPr>
          <w:p>
            <w:pPr>
              <w:spacing w:before="100"/>
              <w:ind w:left="120"/>
            </w:pPr>
            <w:r>
              <w:rPr>
                <w:rFonts w:hint="eastAsia" w:ascii="宋体" w:hAnsi="宋体" w:eastAsia="宋体" w:cs="宋体"/>
                <w:sz w:val="16"/>
              </w:rPr>
              <w:t>效</w:t>
            </w:r>
          </w:p>
          <w:p>
            <w:pPr>
              <w:ind w:left="120"/>
            </w:pPr>
            <w:r>
              <w:rPr>
                <w:rFonts w:hint="eastAsia" w:ascii="宋体" w:hAnsi="宋体" w:eastAsia="宋体" w:cs="宋体"/>
                <w:sz w:val="16"/>
              </w:rPr>
              <w:t>益</w:t>
            </w:r>
          </w:p>
          <w:p>
            <w:pPr>
              <w:ind w:left="120"/>
            </w:pPr>
            <w:r>
              <w:rPr>
                <w:rFonts w:hint="eastAsia" w:ascii="宋体" w:hAnsi="宋体" w:eastAsia="宋体" w:cs="宋体"/>
                <w:sz w:val="16"/>
              </w:rPr>
              <w:t>指</w:t>
            </w:r>
          </w:p>
          <w:p>
            <w:pPr>
              <w:ind w:left="120"/>
            </w:pPr>
            <w:r>
              <w:rPr>
                <w:rFonts w:hint="eastAsia" w:ascii="宋体" w:hAnsi="宋体" w:eastAsia="宋体" w:cs="宋体"/>
                <w:sz w:val="16"/>
              </w:rPr>
              <w:t>标</w:t>
            </w:r>
          </w:p>
          <w:p>
            <w:r>
              <w:rPr>
                <w:rFonts w:hint="eastAsia" w:ascii="宋体" w:hAnsi="宋体" w:eastAsia="宋体" w:cs="宋体"/>
                <w:sz w:val="16"/>
              </w:rPr>
              <w:t>（40</w:t>
            </w:r>
          </w:p>
          <w:p>
            <w:r>
              <w:rPr>
                <w:rFonts w:hint="eastAsia" w:ascii="宋体" w:hAnsi="宋体" w:eastAsia="宋体" w:cs="宋体"/>
                <w:sz w:val="16"/>
              </w:rPr>
              <w:t>分）</w:t>
            </w:r>
          </w:p>
        </w:tc>
        <w:tc>
          <w:tcPr>
            <w:tcW w:w="812" w:type="dxa"/>
            <w:tcMar>
              <w:top w:w="0" w:type="dxa"/>
              <w:left w:w="0" w:type="dxa"/>
              <w:bottom w:w="0" w:type="dxa"/>
              <w:right w:w="0" w:type="dxa"/>
            </w:tcMar>
          </w:tcPr>
          <w:p>
            <w:r>
              <w:rPr>
                <w:rFonts w:hint="eastAsia" w:ascii="宋体" w:hAnsi="宋体" w:eastAsia="宋体" w:cs="宋体"/>
                <w:sz w:val="16"/>
              </w:rPr>
              <w:t>经济效益</w:t>
            </w:r>
          </w:p>
          <w:p>
            <w:pPr>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spacing w:before="80"/>
            </w:pPr>
          </w:p>
        </w:tc>
        <w:tc>
          <w:tcPr>
            <w:tcW w:w="934" w:type="dxa"/>
            <w:tcMar>
              <w:top w:w="0" w:type="dxa"/>
              <w:left w:w="0" w:type="dxa"/>
              <w:bottom w:w="0" w:type="dxa"/>
              <w:right w:w="0" w:type="dxa"/>
            </w:tcMar>
          </w:tcPr>
          <w:p>
            <w:pPr>
              <w:spacing w:before="120"/>
            </w:pPr>
          </w:p>
        </w:tc>
        <w:tc>
          <w:tcPr>
            <w:tcW w:w="952" w:type="dxa"/>
            <w:tcMar>
              <w:top w:w="0" w:type="dxa"/>
              <w:left w:w="0" w:type="dxa"/>
              <w:bottom w:w="0" w:type="dxa"/>
              <w:right w:w="0" w:type="dxa"/>
            </w:tcMar>
          </w:tcPr>
          <w:p>
            <w:pPr>
              <w:spacing w:before="120"/>
            </w:pPr>
          </w:p>
        </w:tc>
        <w:tc>
          <w:tcPr>
            <w:tcW w:w="609" w:type="dxa"/>
            <w:tcMar>
              <w:top w:w="0" w:type="dxa"/>
              <w:left w:w="0" w:type="dxa"/>
              <w:bottom w:w="0" w:type="dxa"/>
              <w:right w:w="0" w:type="dxa"/>
            </w:tcMar>
          </w:tcPr>
          <w:p>
            <w:pPr>
              <w:spacing w:before="120"/>
              <w:ind w:left="200"/>
            </w:pPr>
          </w:p>
        </w:tc>
        <w:tc>
          <w:tcPr>
            <w:tcW w:w="749" w:type="dxa"/>
            <w:tcMar>
              <w:top w:w="0" w:type="dxa"/>
              <w:left w:w="0" w:type="dxa"/>
              <w:bottom w:w="0" w:type="dxa"/>
              <w:right w:w="0" w:type="dxa"/>
            </w:tcMar>
          </w:tcPr>
          <w:p>
            <w:pPr>
              <w:spacing w:before="12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5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tcMar>
              <w:top w:w="0" w:type="dxa"/>
              <w:left w:w="0" w:type="dxa"/>
              <w:bottom w:w="0" w:type="dxa"/>
              <w:right w:w="0" w:type="dxa"/>
            </w:tcMar>
          </w:tcPr>
          <w:p>
            <w:r>
              <w:rPr>
                <w:rFonts w:hint="eastAsia" w:ascii="宋体" w:hAnsi="宋体" w:eastAsia="宋体" w:cs="宋体"/>
                <w:sz w:val="16"/>
              </w:rPr>
              <w:t>社会效益</w:t>
            </w:r>
          </w:p>
          <w:p>
            <w:pPr>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spacing w:before="40"/>
            </w:pPr>
          </w:p>
        </w:tc>
        <w:tc>
          <w:tcPr>
            <w:tcW w:w="934" w:type="dxa"/>
            <w:tcMar>
              <w:top w:w="0" w:type="dxa"/>
              <w:left w:w="0" w:type="dxa"/>
              <w:bottom w:w="0" w:type="dxa"/>
              <w:right w:w="0" w:type="dxa"/>
            </w:tcMar>
          </w:tcPr>
          <w:p>
            <w:pPr>
              <w:spacing w:before="40"/>
            </w:pPr>
          </w:p>
        </w:tc>
        <w:tc>
          <w:tcPr>
            <w:tcW w:w="952" w:type="dxa"/>
            <w:tcMar>
              <w:top w:w="0" w:type="dxa"/>
              <w:left w:w="0" w:type="dxa"/>
              <w:bottom w:w="0" w:type="dxa"/>
              <w:right w:w="0" w:type="dxa"/>
            </w:tcMar>
          </w:tcPr>
          <w:p>
            <w:pPr>
              <w:spacing w:before="40"/>
            </w:pPr>
          </w:p>
        </w:tc>
        <w:tc>
          <w:tcPr>
            <w:tcW w:w="609" w:type="dxa"/>
            <w:tcMar>
              <w:top w:w="0" w:type="dxa"/>
              <w:left w:w="0" w:type="dxa"/>
              <w:bottom w:w="0" w:type="dxa"/>
              <w:right w:w="0" w:type="dxa"/>
            </w:tcMar>
          </w:tcPr>
          <w:p>
            <w:pPr>
              <w:spacing w:before="100"/>
              <w:ind w:left="200"/>
            </w:pPr>
          </w:p>
        </w:tc>
        <w:tc>
          <w:tcPr>
            <w:tcW w:w="749" w:type="dxa"/>
            <w:tcMar>
              <w:top w:w="0" w:type="dxa"/>
              <w:left w:w="0" w:type="dxa"/>
              <w:bottom w:w="0" w:type="dxa"/>
              <w:right w:w="0" w:type="dxa"/>
            </w:tcMar>
          </w:tcPr>
          <w:p>
            <w:pPr>
              <w:spacing w:before="10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tcMar>
              <w:top w:w="0" w:type="dxa"/>
              <w:left w:w="0" w:type="dxa"/>
              <w:bottom w:w="0" w:type="dxa"/>
              <w:right w:w="0" w:type="dxa"/>
            </w:tcMar>
          </w:tcPr>
          <w:p>
            <w:pPr>
              <w:spacing w:before="20"/>
              <w:ind w:left="140"/>
            </w:pPr>
            <w:r>
              <w:rPr>
                <w:rFonts w:hint="eastAsia" w:ascii="宋体" w:hAnsi="宋体" w:eastAsia="宋体" w:cs="宋体"/>
                <w:sz w:val="16"/>
              </w:rPr>
              <w:t>可持续</w:t>
            </w:r>
          </w:p>
          <w:p>
            <w:r>
              <w:rPr>
                <w:rFonts w:hint="eastAsia" w:ascii="宋体" w:hAnsi="宋体" w:eastAsia="宋体" w:cs="宋体"/>
                <w:sz w:val="16"/>
              </w:rPr>
              <w:t>影响指标</w:t>
            </w:r>
          </w:p>
        </w:tc>
        <w:tc>
          <w:tcPr>
            <w:tcW w:w="3325" w:type="dxa"/>
            <w:gridSpan w:val="2"/>
            <w:tcMar>
              <w:top w:w="0" w:type="dxa"/>
              <w:left w:w="0" w:type="dxa"/>
              <w:bottom w:w="0" w:type="dxa"/>
              <w:right w:w="0" w:type="dxa"/>
            </w:tcMar>
          </w:tcPr>
          <w:p>
            <w:pPr>
              <w:spacing w:before="120"/>
            </w:pPr>
          </w:p>
        </w:tc>
        <w:tc>
          <w:tcPr>
            <w:tcW w:w="934" w:type="dxa"/>
            <w:tcMar>
              <w:top w:w="0" w:type="dxa"/>
              <w:left w:w="0" w:type="dxa"/>
              <w:bottom w:w="0" w:type="dxa"/>
              <w:right w:w="0" w:type="dxa"/>
            </w:tcMar>
          </w:tcPr>
          <w:p>
            <w:pPr>
              <w:spacing w:before="120"/>
            </w:pPr>
          </w:p>
        </w:tc>
        <w:tc>
          <w:tcPr>
            <w:tcW w:w="952" w:type="dxa"/>
            <w:tcMar>
              <w:top w:w="0" w:type="dxa"/>
              <w:left w:w="0" w:type="dxa"/>
              <w:bottom w:w="0" w:type="dxa"/>
              <w:right w:w="0" w:type="dxa"/>
            </w:tcMar>
          </w:tcPr>
          <w:p>
            <w:pPr>
              <w:spacing w:before="120"/>
            </w:pPr>
          </w:p>
        </w:tc>
        <w:tc>
          <w:tcPr>
            <w:tcW w:w="609" w:type="dxa"/>
            <w:tcMar>
              <w:top w:w="0" w:type="dxa"/>
              <w:left w:w="0" w:type="dxa"/>
              <w:bottom w:w="0" w:type="dxa"/>
              <w:right w:w="0" w:type="dxa"/>
            </w:tcMar>
          </w:tcPr>
          <w:p>
            <w:pPr>
              <w:spacing w:before="160"/>
              <w:ind w:left="200"/>
            </w:pPr>
          </w:p>
        </w:tc>
        <w:tc>
          <w:tcPr>
            <w:tcW w:w="749" w:type="dxa"/>
            <w:tcMar>
              <w:top w:w="0" w:type="dxa"/>
              <w:left w:w="0" w:type="dxa"/>
              <w:bottom w:w="0" w:type="dxa"/>
              <w:right w:w="0" w:type="dxa"/>
            </w:tcMar>
          </w:tcPr>
          <w:p>
            <w:pPr>
              <w:spacing w:before="16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6" w:hRule="exact"/>
        </w:trPr>
        <w:tc>
          <w:tcPr>
            <w:tcW w:w="466" w:type="dxa"/>
            <w:vMerge w:val="continue"/>
            <w:tcMar>
              <w:top w:w="0" w:type="dxa"/>
              <w:left w:w="0" w:type="dxa"/>
              <w:bottom w:w="0" w:type="dxa"/>
              <w:right w:w="0" w:type="dxa"/>
            </w:tcMar>
          </w:tcPr>
          <w:p/>
        </w:tc>
        <w:tc>
          <w:tcPr>
            <w:tcW w:w="445" w:type="dxa"/>
            <w:tcMar>
              <w:top w:w="0" w:type="dxa"/>
              <w:left w:w="0" w:type="dxa"/>
              <w:bottom w:w="0" w:type="dxa"/>
              <w:right w:w="0" w:type="dxa"/>
            </w:tcMar>
          </w:tcPr>
          <w:p>
            <w:r>
              <w:rPr>
                <w:rFonts w:hint="eastAsia" w:ascii="宋体" w:hAnsi="宋体" w:eastAsia="宋体" w:cs="宋体"/>
                <w:sz w:val="16"/>
              </w:rPr>
              <w:t>满意</w:t>
            </w:r>
          </w:p>
          <w:p>
            <w:r>
              <w:rPr>
                <w:rFonts w:hint="eastAsia" w:ascii="宋体" w:hAnsi="宋体" w:eastAsia="宋体" w:cs="宋体"/>
                <w:sz w:val="16"/>
              </w:rPr>
              <w:t>度指</w:t>
            </w:r>
          </w:p>
          <w:p>
            <w:pPr>
              <w:ind w:left="120"/>
            </w:pPr>
            <w:r>
              <w:rPr>
                <w:rFonts w:hint="eastAsia" w:ascii="宋体" w:hAnsi="宋体" w:eastAsia="宋体" w:cs="宋体"/>
                <w:sz w:val="16"/>
              </w:rPr>
              <w:t>标</w:t>
            </w:r>
          </w:p>
          <w:p>
            <w:r>
              <w:rPr>
                <w:rFonts w:hint="eastAsia" w:ascii="宋体" w:hAnsi="宋体" w:eastAsia="宋体" w:cs="宋体"/>
                <w:sz w:val="16"/>
              </w:rPr>
              <w:t>（20</w:t>
            </w:r>
          </w:p>
          <w:p>
            <w:r>
              <w:rPr>
                <w:rFonts w:hint="eastAsia" w:ascii="宋体" w:hAnsi="宋体" w:eastAsia="宋体" w:cs="宋体"/>
                <w:sz w:val="16"/>
              </w:rPr>
              <w:t>分）</w:t>
            </w:r>
          </w:p>
        </w:tc>
        <w:tc>
          <w:tcPr>
            <w:tcW w:w="812" w:type="dxa"/>
            <w:tcMar>
              <w:top w:w="0" w:type="dxa"/>
              <w:left w:w="0" w:type="dxa"/>
              <w:bottom w:w="0" w:type="dxa"/>
              <w:right w:w="0" w:type="dxa"/>
            </w:tcMar>
          </w:tcPr>
          <w:p>
            <w:pPr>
              <w:spacing w:before="40"/>
            </w:pPr>
            <w:r>
              <w:rPr>
                <w:rFonts w:hint="eastAsia" w:ascii="宋体" w:hAnsi="宋体" w:eastAsia="宋体" w:cs="宋体"/>
                <w:sz w:val="16"/>
              </w:rPr>
              <w:t>服务对象</w:t>
            </w:r>
          </w:p>
          <w:p>
            <w:pPr>
              <w:ind w:left="140"/>
            </w:pPr>
            <w:r>
              <w:rPr>
                <w:rFonts w:hint="eastAsia" w:ascii="宋体" w:hAnsi="宋体" w:eastAsia="宋体" w:cs="宋体"/>
                <w:sz w:val="16"/>
              </w:rPr>
              <w:t>满意度</w:t>
            </w:r>
          </w:p>
          <w:p>
            <w:pPr>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tc>
        <w:tc>
          <w:tcPr>
            <w:tcW w:w="934" w:type="dxa"/>
            <w:tcMar>
              <w:top w:w="0" w:type="dxa"/>
              <w:left w:w="0" w:type="dxa"/>
              <w:bottom w:w="0" w:type="dxa"/>
              <w:right w:w="0" w:type="dxa"/>
            </w:tcMar>
          </w:tcPr>
          <w:p>
            <w:pPr>
              <w:spacing w:before="280"/>
            </w:pPr>
          </w:p>
        </w:tc>
        <w:tc>
          <w:tcPr>
            <w:tcW w:w="952" w:type="dxa"/>
            <w:tcMar>
              <w:top w:w="0" w:type="dxa"/>
              <w:left w:w="0" w:type="dxa"/>
              <w:bottom w:w="0" w:type="dxa"/>
              <w:right w:w="0" w:type="dxa"/>
            </w:tcMar>
          </w:tcPr>
          <w:p>
            <w:pPr>
              <w:spacing w:before="280"/>
            </w:pPr>
          </w:p>
        </w:tc>
        <w:tc>
          <w:tcPr>
            <w:tcW w:w="609" w:type="dxa"/>
            <w:tcMar>
              <w:top w:w="0" w:type="dxa"/>
              <w:left w:w="0" w:type="dxa"/>
              <w:bottom w:w="0" w:type="dxa"/>
              <w:right w:w="0" w:type="dxa"/>
            </w:tcMar>
          </w:tcPr>
          <w:p>
            <w:pPr>
              <w:spacing w:before="280"/>
              <w:ind w:left="200"/>
            </w:pPr>
          </w:p>
        </w:tc>
        <w:tc>
          <w:tcPr>
            <w:tcW w:w="749" w:type="dxa"/>
            <w:tcMar>
              <w:top w:w="0" w:type="dxa"/>
              <w:left w:w="0" w:type="dxa"/>
              <w:bottom w:w="0" w:type="dxa"/>
              <w:right w:w="0" w:type="dxa"/>
            </w:tcMar>
          </w:tcPr>
          <w:p>
            <w:pPr>
              <w:spacing w:before="28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1" w:hRule="exact"/>
        </w:trPr>
        <w:tc>
          <w:tcPr>
            <w:tcW w:w="6934" w:type="dxa"/>
            <w:gridSpan w:val="7"/>
            <w:tcMar>
              <w:top w:w="0" w:type="dxa"/>
              <w:left w:w="0" w:type="dxa"/>
              <w:bottom w:w="0" w:type="dxa"/>
              <w:right w:w="0" w:type="dxa"/>
            </w:tcMar>
          </w:tcPr>
          <w:p>
            <w:pPr>
              <w:tabs>
                <w:tab w:val="left" w:pos="3740"/>
              </w:tabs>
              <w:ind w:left="2900"/>
            </w:pPr>
            <w:r>
              <w:rPr>
                <w:rFonts w:hint="eastAsia" w:ascii="宋体" w:hAnsi="宋体" w:eastAsia="宋体" w:cs="宋体"/>
                <w:b/>
                <w:sz w:val="16"/>
              </w:rPr>
              <w:t>总</w:t>
            </w:r>
            <w:r>
              <w:tab/>
            </w:r>
            <w:r>
              <w:rPr>
                <w:rFonts w:hint="eastAsia" w:ascii="宋体" w:hAnsi="宋体" w:eastAsia="宋体" w:cs="宋体"/>
                <w:b/>
                <w:sz w:val="16"/>
              </w:rPr>
              <w:t>分</w:t>
            </w:r>
          </w:p>
        </w:tc>
        <w:tc>
          <w:tcPr>
            <w:tcW w:w="609" w:type="dxa"/>
            <w:tcMar>
              <w:top w:w="0" w:type="dxa"/>
              <w:left w:w="0" w:type="dxa"/>
              <w:bottom w:w="0" w:type="dxa"/>
              <w:right w:w="0" w:type="dxa"/>
            </w:tcMar>
          </w:tcPr>
          <w:p>
            <w:pPr>
              <w:spacing w:before="40"/>
              <w:ind w:left="160"/>
            </w:pPr>
          </w:p>
        </w:tc>
        <w:tc>
          <w:tcPr>
            <w:tcW w:w="749" w:type="dxa"/>
            <w:tcMar>
              <w:top w:w="0" w:type="dxa"/>
              <w:left w:w="0" w:type="dxa"/>
              <w:bottom w:w="0" w:type="dxa"/>
              <w:right w:w="0" w:type="dxa"/>
            </w:tcMar>
          </w:tcPr>
          <w:p>
            <w:pPr>
              <w:spacing w:before="40"/>
              <w:ind w:left="180"/>
            </w:pPr>
          </w:p>
        </w:tc>
        <w:tc>
          <w:tcPr>
            <w:tcW w:w="1807" w:type="dxa"/>
            <w:gridSpan w:val="2"/>
            <w:tcMar>
              <w:top w:w="0" w:type="dxa"/>
              <w:left w:w="0" w:type="dxa"/>
              <w:bottom w:w="0" w:type="dxa"/>
              <w:right w:w="0" w:type="dxa"/>
            </w:tcMar>
          </w:tcPr>
          <w:p/>
        </w:tc>
      </w:tr>
    </w:tbl>
    <w:p/>
    <w:p>
      <w:pPr>
        <w:widowControl/>
        <w:spacing w:line="580" w:lineRule="exact"/>
        <w:jc w:val="left"/>
        <w:rPr>
          <w:rFonts w:ascii="仿宋" w:hAnsi="仿宋" w:eastAsia="仿宋" w:cs="仿宋"/>
          <w:color w:val="000000"/>
          <w:kern w:val="0"/>
          <w:sz w:val="31"/>
          <w:szCs w:val="31"/>
        </w:rPr>
      </w:pPr>
    </w:p>
    <w:p>
      <w:pPr>
        <w:spacing w:beforeLines="50" w:line="400" w:lineRule="exact"/>
        <w:ind w:firstLine="2520" w:firstLineChars="700"/>
        <w:outlineLvl w:val="1"/>
        <w:rPr>
          <w:rFonts w:ascii="黑体" w:hAnsi="黑体" w:eastAsia="黑体" w:cs="黑体"/>
          <w:kern w:val="0"/>
          <w:sz w:val="36"/>
          <w:szCs w:val="36"/>
        </w:rPr>
      </w:pPr>
      <w:r>
        <w:rPr>
          <w:rFonts w:hint="eastAsia" w:ascii="黑体" w:hAnsi="黑体" w:eastAsia="黑体" w:cs="黑体"/>
          <w:kern w:val="0"/>
          <w:sz w:val="36"/>
          <w:szCs w:val="36"/>
        </w:rPr>
        <w:t>第四部分  名词解释</w:t>
      </w:r>
    </w:p>
    <w:p>
      <w:pPr>
        <w:widowControl/>
        <w:spacing w:line="400" w:lineRule="exact"/>
        <w:ind w:firstLine="480"/>
        <w:jc w:val="left"/>
        <w:rPr>
          <w:rFonts w:ascii="仿宋_GB2312" w:hAnsi="宋体" w:eastAsia="仿宋_GB2312" w:cs="宋体"/>
          <w:kern w:val="0"/>
          <w:sz w:val="32"/>
          <w:szCs w:val="32"/>
        </w:rPr>
      </w:pPr>
    </w:p>
    <w:p>
      <w:pPr>
        <w:spacing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第五部分    附件</w:t>
      </w:r>
    </w:p>
    <w:p>
      <w:pPr>
        <w:spacing w:beforeLines="50" w:line="400" w:lineRule="exact"/>
        <w:ind w:firstLine="156" w:firstLineChars="49"/>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其他有关公开资料</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Times New Roman"/>
    <w:panose1 w:val="00000000000000000000"/>
    <w:charset w:val="00"/>
    <w:family w:val="roman"/>
    <w:pitch w:val="default"/>
    <w:sig w:usb0="00000000" w:usb1="00000000" w:usb2="00000000" w:usb3="00000000" w:csb0="00000000" w:csb1="00000000"/>
  </w:font>
  <w:font w:name="方正小标宋简体">
    <w:altName w:val="黑体"/>
    <w:panose1 w:val="00000000000000000000"/>
    <w:charset w:val="86"/>
    <w:family w:val="auto"/>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仿宋-GB2312">
    <w:altName w:val="微软雅黑"/>
    <w:panose1 w:val="00000000000000000000"/>
    <w:charset w:val="86"/>
    <w:family w:val="auto"/>
    <w:pitch w:val="default"/>
    <w:sig w:usb0="00000000" w:usb1="00000000" w:usb2="00000010"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D0CB82"/>
    <w:multiLevelType w:val="singleLevel"/>
    <w:tmpl w:val="12D0CB8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4MzNkNjMwZDUwYTE2MTA2NzZkMWMwMWNhMDcwZGEifQ=="/>
  </w:docVars>
  <w:rsids>
    <w:rsidRoot w:val="7C17574C"/>
    <w:rsid w:val="0000175F"/>
    <w:rsid w:val="00006B88"/>
    <w:rsid w:val="00047E60"/>
    <w:rsid w:val="000A5C5B"/>
    <w:rsid w:val="000C3EC6"/>
    <w:rsid w:val="000F7611"/>
    <w:rsid w:val="0010107A"/>
    <w:rsid w:val="001405F9"/>
    <w:rsid w:val="001A1FBB"/>
    <w:rsid w:val="001D05B7"/>
    <w:rsid w:val="002351A7"/>
    <w:rsid w:val="002626CA"/>
    <w:rsid w:val="00292FC5"/>
    <w:rsid w:val="002B4C06"/>
    <w:rsid w:val="00324948"/>
    <w:rsid w:val="00326A4B"/>
    <w:rsid w:val="003A3E53"/>
    <w:rsid w:val="003F3D76"/>
    <w:rsid w:val="00443A4E"/>
    <w:rsid w:val="0045444B"/>
    <w:rsid w:val="0046000C"/>
    <w:rsid w:val="00485A1B"/>
    <w:rsid w:val="00496306"/>
    <w:rsid w:val="004C6E84"/>
    <w:rsid w:val="004C7051"/>
    <w:rsid w:val="004D4656"/>
    <w:rsid w:val="005210C1"/>
    <w:rsid w:val="005343AF"/>
    <w:rsid w:val="00547131"/>
    <w:rsid w:val="00585433"/>
    <w:rsid w:val="005A3E3A"/>
    <w:rsid w:val="005F3F16"/>
    <w:rsid w:val="0060260F"/>
    <w:rsid w:val="006075AB"/>
    <w:rsid w:val="006131C4"/>
    <w:rsid w:val="006335A2"/>
    <w:rsid w:val="00647EF0"/>
    <w:rsid w:val="00674855"/>
    <w:rsid w:val="00722CC7"/>
    <w:rsid w:val="007250FA"/>
    <w:rsid w:val="00746F45"/>
    <w:rsid w:val="0075229B"/>
    <w:rsid w:val="007C32C2"/>
    <w:rsid w:val="0080111F"/>
    <w:rsid w:val="00817EA5"/>
    <w:rsid w:val="00825FB7"/>
    <w:rsid w:val="00880C66"/>
    <w:rsid w:val="008A0DAE"/>
    <w:rsid w:val="008B17E4"/>
    <w:rsid w:val="008B1FF9"/>
    <w:rsid w:val="00923201"/>
    <w:rsid w:val="00963987"/>
    <w:rsid w:val="00976AAA"/>
    <w:rsid w:val="009956CE"/>
    <w:rsid w:val="009C59AD"/>
    <w:rsid w:val="009E16DD"/>
    <w:rsid w:val="00A17229"/>
    <w:rsid w:val="00A91B04"/>
    <w:rsid w:val="00A963F3"/>
    <w:rsid w:val="00AA0F1A"/>
    <w:rsid w:val="00AA3766"/>
    <w:rsid w:val="00B6365C"/>
    <w:rsid w:val="00BA16A5"/>
    <w:rsid w:val="00BB0B2B"/>
    <w:rsid w:val="00BD0BBF"/>
    <w:rsid w:val="00BD4A83"/>
    <w:rsid w:val="00BF07D7"/>
    <w:rsid w:val="00BF4537"/>
    <w:rsid w:val="00BF5958"/>
    <w:rsid w:val="00C34E06"/>
    <w:rsid w:val="00C44FE8"/>
    <w:rsid w:val="00C50CE3"/>
    <w:rsid w:val="00C808E2"/>
    <w:rsid w:val="00C94500"/>
    <w:rsid w:val="00D121B3"/>
    <w:rsid w:val="00D42B7E"/>
    <w:rsid w:val="00D71A57"/>
    <w:rsid w:val="00E315E1"/>
    <w:rsid w:val="00E50004"/>
    <w:rsid w:val="00ED4D4B"/>
    <w:rsid w:val="00EE6149"/>
    <w:rsid w:val="00F02B0F"/>
    <w:rsid w:val="00F265A8"/>
    <w:rsid w:val="00F4603C"/>
    <w:rsid w:val="00F60292"/>
    <w:rsid w:val="00FB0077"/>
    <w:rsid w:val="00FB47A8"/>
    <w:rsid w:val="031C4091"/>
    <w:rsid w:val="05DF577F"/>
    <w:rsid w:val="066E5855"/>
    <w:rsid w:val="0B5D3616"/>
    <w:rsid w:val="0BAD4E0B"/>
    <w:rsid w:val="0CF35131"/>
    <w:rsid w:val="0D04494E"/>
    <w:rsid w:val="0EEB340B"/>
    <w:rsid w:val="0F2842C3"/>
    <w:rsid w:val="0F680B9E"/>
    <w:rsid w:val="10AE2D8F"/>
    <w:rsid w:val="10CA7EBE"/>
    <w:rsid w:val="131727D7"/>
    <w:rsid w:val="13D906ED"/>
    <w:rsid w:val="150D6FD1"/>
    <w:rsid w:val="1AA71346"/>
    <w:rsid w:val="1BD45095"/>
    <w:rsid w:val="1C01040B"/>
    <w:rsid w:val="1D4D1B4A"/>
    <w:rsid w:val="1E022491"/>
    <w:rsid w:val="212A3855"/>
    <w:rsid w:val="2206556A"/>
    <w:rsid w:val="238C6090"/>
    <w:rsid w:val="24737B02"/>
    <w:rsid w:val="27817BF7"/>
    <w:rsid w:val="27C212FD"/>
    <w:rsid w:val="28860A6B"/>
    <w:rsid w:val="2C1C39C7"/>
    <w:rsid w:val="2C56247B"/>
    <w:rsid w:val="2ECD391C"/>
    <w:rsid w:val="2EF43CB3"/>
    <w:rsid w:val="32AB706D"/>
    <w:rsid w:val="33B91979"/>
    <w:rsid w:val="393B2C37"/>
    <w:rsid w:val="395778BD"/>
    <w:rsid w:val="3D6D460C"/>
    <w:rsid w:val="3F78018F"/>
    <w:rsid w:val="3FAC0518"/>
    <w:rsid w:val="40290A28"/>
    <w:rsid w:val="42F01D3B"/>
    <w:rsid w:val="452D4B0C"/>
    <w:rsid w:val="48065BE1"/>
    <w:rsid w:val="499B398E"/>
    <w:rsid w:val="4A9C229A"/>
    <w:rsid w:val="4BA20B39"/>
    <w:rsid w:val="4DB374A9"/>
    <w:rsid w:val="4EFE2BAF"/>
    <w:rsid w:val="4F3A72E3"/>
    <w:rsid w:val="4F8E14CA"/>
    <w:rsid w:val="50996960"/>
    <w:rsid w:val="513856C4"/>
    <w:rsid w:val="52101F5F"/>
    <w:rsid w:val="53594E74"/>
    <w:rsid w:val="5406151A"/>
    <w:rsid w:val="542F26AE"/>
    <w:rsid w:val="566564DE"/>
    <w:rsid w:val="57304FB4"/>
    <w:rsid w:val="57564D81"/>
    <w:rsid w:val="5786595D"/>
    <w:rsid w:val="57E271F7"/>
    <w:rsid w:val="58DB54D4"/>
    <w:rsid w:val="598D0FBE"/>
    <w:rsid w:val="5A437DF3"/>
    <w:rsid w:val="5B280DFC"/>
    <w:rsid w:val="5B7003CF"/>
    <w:rsid w:val="5B983284"/>
    <w:rsid w:val="5C820A1F"/>
    <w:rsid w:val="5EF7291B"/>
    <w:rsid w:val="5F5C4615"/>
    <w:rsid w:val="60B55A87"/>
    <w:rsid w:val="62A661A1"/>
    <w:rsid w:val="64133513"/>
    <w:rsid w:val="64E27DEC"/>
    <w:rsid w:val="668632AD"/>
    <w:rsid w:val="67A52693"/>
    <w:rsid w:val="67F74457"/>
    <w:rsid w:val="68E93FE9"/>
    <w:rsid w:val="6B7B403B"/>
    <w:rsid w:val="6BDB2181"/>
    <w:rsid w:val="6DE17FF1"/>
    <w:rsid w:val="6F025DCF"/>
    <w:rsid w:val="6F235C73"/>
    <w:rsid w:val="71471159"/>
    <w:rsid w:val="71790296"/>
    <w:rsid w:val="72870861"/>
    <w:rsid w:val="7480674A"/>
    <w:rsid w:val="75DD2C1D"/>
    <w:rsid w:val="783A3D48"/>
    <w:rsid w:val="785F788C"/>
    <w:rsid w:val="79FE07E4"/>
    <w:rsid w:val="7C17574C"/>
    <w:rsid w:val="7C7787D2"/>
    <w:rsid w:val="7CB30E94"/>
    <w:rsid w:val="D737CE97"/>
    <w:rsid w:val="F3FBF5AC"/>
    <w:rsid w:val="FD7F21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1"/>
    <w:qFormat/>
    <w:uiPriority w:val="0"/>
    <w:pPr>
      <w:spacing w:before="240" w:after="60"/>
      <w:jc w:val="center"/>
      <w:outlineLvl w:val="0"/>
    </w:pPr>
    <w:rPr>
      <w:rFonts w:eastAsia="宋体" w:asciiTheme="majorHAnsi" w:hAnsiTheme="majorHAnsi" w:cstheme="majorBidi"/>
      <w:b/>
      <w:bCs/>
      <w:sz w:val="32"/>
      <w:szCs w:val="32"/>
    </w:r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0">
    <w:name w:val="页眉 Char"/>
    <w:basedOn w:val="7"/>
    <w:link w:val="4"/>
    <w:uiPriority w:val="0"/>
    <w:rPr>
      <w:rFonts w:asciiTheme="minorHAnsi" w:hAnsiTheme="minorHAnsi" w:eastAsiaTheme="minorEastAsia" w:cstheme="minorBidi"/>
      <w:kern w:val="2"/>
      <w:sz w:val="18"/>
      <w:szCs w:val="18"/>
    </w:rPr>
  </w:style>
  <w:style w:type="character" w:customStyle="1" w:styleId="11">
    <w:name w:val="标题 Char"/>
    <w:basedOn w:val="7"/>
    <w:link w:val="5"/>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62A0-ABA3-463E-8DDA-970EABD9BC3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7759</Words>
  <Characters>11418</Characters>
  <Lines>113</Lines>
  <Paragraphs>31</Paragraphs>
  <TotalTime>372</TotalTime>
  <ScaleCrop>false</ScaleCrop>
  <LinksUpToDate>false</LinksUpToDate>
  <CharactersWithSpaces>13658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2023-09-29T11:42:00Z</dcterms:created>
  <dc:creator>李海英</dc:creator>
  <cp:lastModifiedBy>Administrator</cp:lastModifiedBy>
  <cp:lastPrinted>2020-07-17T09:06:00Z</cp:lastPrinted>
  <dcterms:modified xsi:type="dcterms:W3CDTF">2023-09-30T06:50:33Z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326AC987C821446A83D5077F59B4582F_13</vt:lpwstr>
  </property>
</Properties>
</file>