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jc w:val="center"/>
        <w:outlineLvl w:val="1"/>
        <w:rPr>
          <w:b/>
          <w:sz w:val="44"/>
          <w:szCs w:val="44"/>
        </w:rPr>
      </w:pPr>
    </w:p>
    <w:p>
      <w:pPr>
        <w:pStyle w:val="2"/>
        <w:rPr>
          <w:b/>
          <w:sz w:val="44"/>
          <w:szCs w:val="44"/>
        </w:rPr>
      </w:pPr>
    </w:p>
    <w:p>
      <w:pPr>
        <w:pStyle w:val="2"/>
        <w:rPr>
          <w:b/>
          <w:sz w:val="44"/>
          <w:szCs w:val="44"/>
        </w:rPr>
      </w:pPr>
    </w:p>
    <w:p>
      <w:pPr>
        <w:pStyle w:val="2"/>
        <w:rPr>
          <w:b/>
          <w:sz w:val="44"/>
          <w:szCs w:val="44"/>
        </w:rPr>
      </w:pPr>
    </w:p>
    <w:p>
      <w:pPr>
        <w:widowControl/>
        <w:spacing w:before="100" w:beforeAutospacing="1" w:after="100" w:afterAutospacing="1" w:line="560" w:lineRule="exact"/>
        <w:jc w:val="center"/>
        <w:outlineLvl w:val="1"/>
        <w:rPr>
          <w:b/>
          <w:sz w:val="44"/>
          <w:szCs w:val="44"/>
        </w:rPr>
      </w:pPr>
    </w:p>
    <w:p>
      <w:pPr>
        <w:pStyle w:val="2"/>
        <w:keepNext w:val="0"/>
        <w:keepLines w:val="0"/>
        <w:pageBreakBefore w:val="0"/>
        <w:kinsoku/>
        <w:wordWrap/>
        <w:overflowPunct/>
        <w:topLinePunct w:val="0"/>
        <w:autoSpaceDE/>
        <w:autoSpaceDN/>
        <w:bidi w:val="0"/>
        <w:adjustRightInd/>
        <w:snapToGrid/>
        <w:spacing w:line="660" w:lineRule="atLeast"/>
        <w:textAlignment w:val="auto"/>
        <w:rPr>
          <w:rFonts w:hint="eastAsia" w:ascii="方正小标宋_GBK" w:hAnsi="方正小标宋_GBK" w:eastAsia="方正小标宋_GBK" w:cs="方正小标宋_GBK"/>
          <w:b/>
          <w:bCs/>
          <w:sz w:val="52"/>
          <w:szCs w:val="5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660" w:lineRule="atLeast"/>
        <w:jc w:val="center"/>
        <w:textAlignment w:val="auto"/>
        <w:outlineLvl w:val="1"/>
        <w:rPr>
          <w:rFonts w:hint="eastAsia" w:ascii="方正小标宋_GBK" w:hAnsi="方正小标宋_GBK" w:eastAsia="方正小标宋_GBK" w:cs="方正小标宋_GBK"/>
          <w:b w:val="0"/>
          <w:bCs w:val="0"/>
          <w:sz w:val="52"/>
          <w:szCs w:val="52"/>
        </w:rPr>
      </w:pPr>
      <w:bookmarkStart w:id="0" w:name="_GoBack"/>
      <w:r>
        <w:rPr>
          <w:rFonts w:hint="eastAsia" w:ascii="方正小标宋_GBK" w:hAnsi="方正小标宋_GBK" w:eastAsia="方正小标宋_GBK" w:cs="方正小标宋_GBK"/>
          <w:b w:val="0"/>
          <w:bCs w:val="0"/>
          <w:sz w:val="52"/>
          <w:szCs w:val="52"/>
        </w:rPr>
        <w:t>固原市原州区医疗保险服务中心2024年部门预算</w:t>
      </w:r>
      <w:bookmarkEnd w:id="0"/>
    </w:p>
    <w:p>
      <w:pPr>
        <w:widowControl/>
        <w:spacing w:before="100" w:beforeAutospacing="1" w:after="100" w:afterAutospacing="1" w:line="560" w:lineRule="exact"/>
        <w:jc w:val="center"/>
        <w:outlineLvl w:val="1"/>
        <w:rPr>
          <w:b/>
          <w:sz w:val="44"/>
          <w:szCs w:val="44"/>
        </w:rPr>
      </w:pPr>
    </w:p>
    <w:p>
      <w:pPr>
        <w:widowControl/>
        <w:spacing w:before="100" w:beforeAutospacing="1" w:after="100" w:afterAutospacing="1" w:line="560" w:lineRule="exact"/>
        <w:jc w:val="center"/>
        <w:outlineLvl w:val="1"/>
        <w:rPr>
          <w:b/>
          <w:sz w:val="44"/>
          <w:szCs w:val="44"/>
        </w:rPr>
      </w:pPr>
    </w:p>
    <w:p>
      <w:pPr>
        <w:widowControl/>
        <w:spacing w:before="100" w:beforeAutospacing="1" w:after="100" w:afterAutospacing="1" w:line="560" w:lineRule="exact"/>
        <w:jc w:val="center"/>
        <w:outlineLvl w:val="1"/>
        <w:rPr>
          <w:b/>
          <w:sz w:val="44"/>
          <w:szCs w:val="44"/>
        </w:rPr>
      </w:pPr>
    </w:p>
    <w:p>
      <w:pPr>
        <w:pStyle w:val="2"/>
      </w:pPr>
    </w:p>
    <w:p>
      <w:pPr>
        <w:widowControl/>
        <w:spacing w:before="100" w:beforeAutospacing="1" w:after="100" w:afterAutospacing="1" w:line="560" w:lineRule="exact"/>
        <w:jc w:val="center"/>
        <w:outlineLvl w:val="1"/>
        <w:rPr>
          <w:b/>
          <w:sz w:val="44"/>
          <w:szCs w:val="44"/>
        </w:rPr>
      </w:pPr>
    </w:p>
    <w:p>
      <w:pPr>
        <w:widowControl/>
        <w:spacing w:before="100" w:beforeAutospacing="1" w:after="100" w:afterAutospacing="1" w:line="560" w:lineRule="exact"/>
        <w:jc w:val="center"/>
        <w:outlineLvl w:val="1"/>
        <w:rPr>
          <w:b/>
          <w:sz w:val="44"/>
          <w:szCs w:val="44"/>
        </w:rPr>
      </w:pPr>
    </w:p>
    <w:p>
      <w:pPr>
        <w:widowControl/>
        <w:spacing w:before="100" w:beforeAutospacing="1" w:after="100" w:afterAutospacing="1" w:line="560" w:lineRule="exact"/>
        <w:jc w:val="center"/>
        <w:outlineLvl w:val="1"/>
        <w:rPr>
          <w:b/>
          <w:sz w:val="44"/>
          <w:szCs w:val="44"/>
        </w:rPr>
      </w:pPr>
    </w:p>
    <w:p>
      <w:pPr>
        <w:pStyle w:val="2"/>
        <w:spacing w:line="560" w:lineRule="exact"/>
      </w:pPr>
    </w:p>
    <w:p>
      <w:pPr>
        <w:pStyle w:val="2"/>
        <w:spacing w:line="560" w:lineRule="exact"/>
      </w:pPr>
    </w:p>
    <w:p>
      <w:pPr>
        <w:widowControl/>
        <w:spacing w:line="560" w:lineRule="exact"/>
        <w:jc w:val="center"/>
        <w:outlineLvl w:val="1"/>
        <w:rPr>
          <w:b/>
          <w:sz w:val="44"/>
          <w:szCs w:val="44"/>
        </w:rPr>
      </w:pPr>
    </w:p>
    <w:p>
      <w:pPr>
        <w:widowControl/>
        <w:spacing w:line="560" w:lineRule="exact"/>
        <w:jc w:val="center"/>
        <w:outlineLvl w:val="1"/>
        <w:rPr>
          <w:b/>
          <w:sz w:val="44"/>
          <w:szCs w:val="44"/>
        </w:rPr>
      </w:pPr>
      <w:r>
        <w:rPr>
          <w:rFonts w:hint="eastAsia"/>
          <w:b/>
          <w:sz w:val="44"/>
          <w:szCs w:val="44"/>
        </w:rPr>
        <w:t>目录</w:t>
      </w:r>
    </w:p>
    <w:p>
      <w:pPr>
        <w:widowControl/>
        <w:spacing w:line="560" w:lineRule="exact"/>
        <w:jc w:val="center"/>
        <w:outlineLvl w:val="1"/>
        <w:rPr>
          <w:b/>
          <w:sz w:val="44"/>
          <w:szCs w:val="44"/>
        </w:rPr>
      </w:pPr>
    </w:p>
    <w:p>
      <w:pPr>
        <w:widowControl/>
        <w:spacing w:line="560" w:lineRule="exact"/>
        <w:ind w:firstLine="674" w:firstLineChars="200"/>
        <w:outlineLvl w:val="1"/>
        <w:rPr>
          <w:rFonts w:ascii="仿宋_GB2312" w:eastAsia="仿宋_GB2312"/>
          <w:b/>
          <w:sz w:val="32"/>
          <w:szCs w:val="32"/>
        </w:rPr>
      </w:pPr>
      <w:r>
        <w:rPr>
          <w:rFonts w:hint="eastAsia" w:ascii="仿宋_GB2312" w:eastAsia="仿宋_GB2312"/>
          <w:b/>
          <w:sz w:val="32"/>
          <w:szCs w:val="32"/>
        </w:rPr>
        <w:t>第一部分  单位概况</w:t>
      </w:r>
    </w:p>
    <w:p>
      <w:pPr>
        <w:widowControl/>
        <w:spacing w:line="560" w:lineRule="exact"/>
        <w:ind w:firstLine="672" w:firstLineChars="200"/>
        <w:outlineLvl w:val="1"/>
        <w:rPr>
          <w:rFonts w:ascii="仿宋_GB2312" w:eastAsia="仿宋_GB2312"/>
          <w:sz w:val="32"/>
          <w:szCs w:val="32"/>
        </w:rPr>
      </w:pPr>
      <w:r>
        <w:rPr>
          <w:rFonts w:hint="eastAsia" w:ascii="仿宋_GB2312" w:eastAsia="仿宋_GB2312"/>
          <w:sz w:val="32"/>
          <w:szCs w:val="32"/>
        </w:rPr>
        <w:t>一、主要职能</w:t>
      </w:r>
    </w:p>
    <w:p>
      <w:pPr>
        <w:widowControl/>
        <w:spacing w:line="560" w:lineRule="exact"/>
        <w:ind w:firstLine="672" w:firstLineChars="200"/>
        <w:outlineLvl w:val="1"/>
        <w:rPr>
          <w:rFonts w:ascii="仿宋_GB2312" w:eastAsia="仿宋_GB2312"/>
          <w:sz w:val="32"/>
          <w:szCs w:val="32"/>
        </w:rPr>
      </w:pPr>
      <w:r>
        <w:rPr>
          <w:rFonts w:hint="eastAsia" w:ascii="仿宋_GB2312" w:eastAsia="仿宋_GB2312"/>
          <w:sz w:val="32"/>
          <w:szCs w:val="32"/>
        </w:rPr>
        <w:t>二、部门预算单位构成</w:t>
      </w:r>
    </w:p>
    <w:p>
      <w:pPr>
        <w:widowControl/>
        <w:spacing w:line="560" w:lineRule="exact"/>
        <w:ind w:firstLine="674" w:firstLineChars="200"/>
        <w:outlineLvl w:val="1"/>
        <w:rPr>
          <w:rFonts w:ascii="仿宋_GB2312" w:eastAsia="仿宋_GB2312"/>
          <w:b/>
          <w:sz w:val="32"/>
          <w:szCs w:val="32"/>
        </w:rPr>
      </w:pPr>
      <w:r>
        <w:rPr>
          <w:rFonts w:hint="eastAsia" w:ascii="仿宋_GB2312" w:eastAsia="仿宋_GB2312"/>
          <w:b/>
          <w:sz w:val="32"/>
          <w:szCs w:val="32"/>
        </w:rPr>
        <w:t>第二部分  2024年部门预算表</w:t>
      </w:r>
    </w:p>
    <w:p>
      <w:pPr>
        <w:widowControl/>
        <w:spacing w:line="560" w:lineRule="exact"/>
        <w:ind w:firstLine="672" w:firstLineChars="200"/>
        <w:outlineLvl w:val="1"/>
        <w:rPr>
          <w:rFonts w:ascii="仿宋_GB2312" w:eastAsia="仿宋_GB2312"/>
          <w:sz w:val="32"/>
          <w:szCs w:val="32"/>
        </w:rPr>
      </w:pPr>
      <w:r>
        <w:rPr>
          <w:rFonts w:hint="eastAsia" w:ascii="仿宋_GB2312" w:eastAsia="仿宋_GB2312"/>
          <w:sz w:val="32"/>
          <w:szCs w:val="32"/>
        </w:rPr>
        <w:t>一、财政拨款收支预算总表</w:t>
      </w:r>
    </w:p>
    <w:p>
      <w:pPr>
        <w:widowControl/>
        <w:spacing w:line="560" w:lineRule="exact"/>
        <w:ind w:firstLine="672" w:firstLineChars="200"/>
        <w:outlineLvl w:val="1"/>
        <w:rPr>
          <w:rFonts w:ascii="仿宋_GB2312" w:eastAsia="仿宋_GB2312"/>
          <w:sz w:val="32"/>
          <w:szCs w:val="32"/>
        </w:rPr>
      </w:pPr>
      <w:r>
        <w:rPr>
          <w:rFonts w:hint="eastAsia" w:ascii="仿宋_GB2312" w:eastAsia="仿宋_GB2312"/>
          <w:sz w:val="32"/>
          <w:szCs w:val="32"/>
        </w:rPr>
        <w:t>二、一般公共预算财政拨款支出表</w:t>
      </w:r>
    </w:p>
    <w:p>
      <w:pPr>
        <w:widowControl/>
        <w:spacing w:line="560" w:lineRule="exact"/>
        <w:ind w:firstLine="672" w:firstLineChars="200"/>
        <w:outlineLvl w:val="1"/>
        <w:rPr>
          <w:rFonts w:ascii="仿宋_GB2312" w:eastAsia="仿宋_GB2312"/>
          <w:sz w:val="32"/>
          <w:szCs w:val="32"/>
        </w:rPr>
      </w:pPr>
      <w:r>
        <w:rPr>
          <w:rFonts w:hint="eastAsia" w:ascii="仿宋_GB2312" w:eastAsia="仿宋_GB2312"/>
          <w:sz w:val="32"/>
          <w:szCs w:val="32"/>
        </w:rPr>
        <w:t>三、一般公共预算财政拨款基本支出表</w:t>
      </w:r>
    </w:p>
    <w:p>
      <w:pPr>
        <w:widowControl/>
        <w:spacing w:line="560" w:lineRule="exact"/>
        <w:ind w:firstLine="672" w:firstLineChars="200"/>
        <w:outlineLvl w:val="1"/>
        <w:rPr>
          <w:rFonts w:ascii="仿宋_GB2312" w:eastAsia="仿宋_GB2312"/>
          <w:sz w:val="32"/>
          <w:szCs w:val="32"/>
        </w:rPr>
      </w:pPr>
      <w:r>
        <w:rPr>
          <w:rFonts w:hint="eastAsia" w:ascii="仿宋_GB2312" w:eastAsia="仿宋_GB2312"/>
          <w:sz w:val="32"/>
          <w:szCs w:val="32"/>
        </w:rPr>
        <w:t>四、一般公共预算财政拨款“三公”经费支出表</w:t>
      </w:r>
    </w:p>
    <w:p>
      <w:pPr>
        <w:widowControl/>
        <w:spacing w:line="560" w:lineRule="exact"/>
        <w:ind w:firstLine="672" w:firstLineChars="200"/>
        <w:outlineLvl w:val="1"/>
        <w:rPr>
          <w:rFonts w:ascii="仿宋_GB2312" w:eastAsia="仿宋_GB2312"/>
          <w:sz w:val="32"/>
          <w:szCs w:val="32"/>
        </w:rPr>
      </w:pPr>
      <w:r>
        <w:rPr>
          <w:rFonts w:hint="eastAsia" w:ascii="仿宋_GB2312" w:eastAsia="仿宋_GB2312"/>
          <w:sz w:val="32"/>
          <w:szCs w:val="32"/>
        </w:rPr>
        <w:t>五、政府性基金预算财政拨款支出表</w:t>
      </w:r>
    </w:p>
    <w:p>
      <w:pPr>
        <w:widowControl/>
        <w:spacing w:line="560" w:lineRule="exact"/>
        <w:ind w:firstLine="672" w:firstLineChars="200"/>
        <w:outlineLvl w:val="1"/>
        <w:rPr>
          <w:rFonts w:ascii="仿宋_GB2312" w:eastAsia="仿宋_GB2312"/>
          <w:sz w:val="32"/>
          <w:szCs w:val="32"/>
        </w:rPr>
      </w:pPr>
      <w:r>
        <w:rPr>
          <w:rFonts w:hint="eastAsia" w:ascii="仿宋_GB2312" w:eastAsia="仿宋_GB2312"/>
          <w:sz w:val="32"/>
          <w:szCs w:val="32"/>
        </w:rPr>
        <w:t>六、部门收支总表</w:t>
      </w:r>
    </w:p>
    <w:p>
      <w:pPr>
        <w:widowControl/>
        <w:spacing w:line="560" w:lineRule="exact"/>
        <w:ind w:firstLine="672" w:firstLineChars="200"/>
        <w:outlineLvl w:val="1"/>
        <w:rPr>
          <w:rFonts w:ascii="仿宋_GB2312" w:eastAsia="仿宋_GB2312"/>
          <w:sz w:val="32"/>
          <w:szCs w:val="32"/>
        </w:rPr>
      </w:pPr>
      <w:r>
        <w:rPr>
          <w:rFonts w:hint="eastAsia" w:ascii="仿宋_GB2312" w:eastAsia="仿宋_GB2312"/>
          <w:sz w:val="32"/>
          <w:szCs w:val="32"/>
        </w:rPr>
        <w:t>七、部门收入总表</w:t>
      </w:r>
    </w:p>
    <w:p>
      <w:pPr>
        <w:widowControl/>
        <w:spacing w:line="560" w:lineRule="exact"/>
        <w:ind w:firstLine="672" w:firstLineChars="200"/>
        <w:outlineLvl w:val="1"/>
        <w:rPr>
          <w:rFonts w:ascii="仿宋_GB2312" w:eastAsia="仿宋_GB2312"/>
          <w:sz w:val="32"/>
          <w:szCs w:val="32"/>
        </w:rPr>
      </w:pPr>
      <w:r>
        <w:rPr>
          <w:rFonts w:hint="eastAsia" w:ascii="仿宋_GB2312" w:eastAsia="仿宋_GB2312"/>
          <w:sz w:val="32"/>
          <w:szCs w:val="32"/>
        </w:rPr>
        <w:t>八、部门支出总表</w:t>
      </w:r>
    </w:p>
    <w:p>
      <w:pPr>
        <w:widowControl/>
        <w:spacing w:line="560" w:lineRule="exact"/>
        <w:ind w:firstLine="674" w:firstLineChars="200"/>
        <w:outlineLvl w:val="1"/>
        <w:rPr>
          <w:rFonts w:ascii="仿宋_GB2312" w:eastAsia="仿宋_GB2312"/>
          <w:b/>
          <w:sz w:val="32"/>
          <w:szCs w:val="32"/>
        </w:rPr>
      </w:pPr>
      <w:r>
        <w:rPr>
          <w:rFonts w:hint="eastAsia" w:ascii="仿宋_GB2312" w:eastAsia="仿宋_GB2312"/>
          <w:b/>
          <w:sz w:val="32"/>
          <w:szCs w:val="32"/>
        </w:rPr>
        <w:t>第三部分  2024年部门预算情况说明</w:t>
      </w:r>
    </w:p>
    <w:p>
      <w:pPr>
        <w:widowControl/>
        <w:spacing w:line="560" w:lineRule="exact"/>
        <w:ind w:firstLine="674" w:firstLineChars="200"/>
        <w:outlineLvl w:val="1"/>
        <w:rPr>
          <w:rFonts w:ascii="仿宋_GB2312" w:eastAsia="仿宋_GB2312"/>
          <w:b/>
          <w:sz w:val="32"/>
          <w:szCs w:val="32"/>
        </w:rPr>
      </w:pPr>
      <w:r>
        <w:rPr>
          <w:rFonts w:hint="eastAsia" w:ascii="仿宋_GB2312" w:eastAsia="仿宋_GB2312"/>
          <w:b/>
          <w:sz w:val="32"/>
          <w:szCs w:val="32"/>
        </w:rPr>
        <w:t>第四部分  名词解释</w:t>
      </w:r>
    </w:p>
    <w:p>
      <w:pPr>
        <w:widowControl/>
        <w:spacing w:line="560" w:lineRule="exact"/>
        <w:ind w:firstLine="674" w:firstLineChars="200"/>
        <w:outlineLvl w:val="1"/>
        <w:rPr>
          <w:rFonts w:ascii="仿宋_GB2312" w:eastAsia="仿宋_GB2312"/>
          <w:b/>
          <w:sz w:val="32"/>
          <w:szCs w:val="32"/>
        </w:rPr>
      </w:pPr>
    </w:p>
    <w:p>
      <w:pPr>
        <w:widowControl/>
        <w:spacing w:line="560" w:lineRule="exact"/>
        <w:outlineLvl w:val="1"/>
        <w:rPr>
          <w:rFonts w:ascii="仿宋_GB2312" w:eastAsia="仿宋_GB2312"/>
          <w:b/>
          <w:sz w:val="32"/>
          <w:szCs w:val="32"/>
        </w:rPr>
      </w:pPr>
    </w:p>
    <w:p>
      <w:pPr>
        <w:widowControl/>
        <w:spacing w:line="560" w:lineRule="exact"/>
        <w:outlineLvl w:val="1"/>
        <w:rPr>
          <w:rFonts w:ascii="仿宋_GB2312" w:eastAsia="仿宋_GB2312"/>
          <w:b/>
          <w:sz w:val="32"/>
          <w:szCs w:val="32"/>
        </w:rPr>
      </w:pPr>
    </w:p>
    <w:p>
      <w:pPr>
        <w:pStyle w:val="2"/>
        <w:spacing w:line="560" w:lineRule="exact"/>
        <w:rPr>
          <w:rFonts w:ascii="仿宋_GB2312" w:eastAsia="仿宋_GB2312"/>
          <w:b/>
          <w:sz w:val="32"/>
          <w:szCs w:val="32"/>
        </w:rPr>
      </w:pPr>
    </w:p>
    <w:p>
      <w:pPr>
        <w:pStyle w:val="2"/>
        <w:spacing w:line="560" w:lineRule="exact"/>
        <w:rPr>
          <w:rFonts w:ascii="仿宋_GB2312" w:eastAsia="仿宋_GB2312"/>
          <w:b/>
          <w:sz w:val="32"/>
          <w:szCs w:val="32"/>
        </w:rPr>
      </w:pPr>
    </w:p>
    <w:p>
      <w:pPr>
        <w:pStyle w:val="2"/>
        <w:spacing w:line="560" w:lineRule="exact"/>
        <w:rPr>
          <w:rFonts w:ascii="仿宋_GB2312" w:eastAsia="仿宋_GB2312"/>
          <w:b/>
          <w:sz w:val="32"/>
          <w:szCs w:val="32"/>
        </w:rPr>
      </w:pPr>
    </w:p>
    <w:p>
      <w:pPr>
        <w:pStyle w:val="2"/>
        <w:spacing w:line="560" w:lineRule="exact"/>
        <w:rPr>
          <w:rFonts w:ascii="仿宋_GB2312" w:eastAsia="仿宋_GB2312"/>
          <w:b/>
          <w:sz w:val="32"/>
          <w:szCs w:val="32"/>
        </w:rPr>
      </w:pPr>
    </w:p>
    <w:p>
      <w:pPr>
        <w:widowControl/>
        <w:spacing w:line="560" w:lineRule="exact"/>
        <w:outlineLvl w:val="1"/>
        <w:rPr>
          <w:rFonts w:ascii="仿宋_GB2312" w:eastAsia="仿宋_GB2312"/>
          <w:b/>
          <w:sz w:val="32"/>
          <w:szCs w:val="32"/>
        </w:rPr>
      </w:pPr>
    </w:p>
    <w:p>
      <w:pPr>
        <w:widowControl/>
        <w:spacing w:line="560" w:lineRule="exact"/>
        <w:jc w:val="center"/>
        <w:outlineLvl w:val="1"/>
        <w:rPr>
          <w:rFonts w:ascii="方正小标宋简体" w:hAnsi="方正小标宋简体" w:eastAsia="方正小标宋简体" w:cs="方正小标宋简体"/>
          <w:bCs/>
          <w:sz w:val="44"/>
          <w:szCs w:val="44"/>
        </w:rPr>
      </w:pPr>
      <w:r>
        <w:rPr>
          <w:rFonts w:hint="eastAsia"/>
          <w:b/>
          <w:sz w:val="44"/>
          <w:szCs w:val="44"/>
        </w:rPr>
        <w:t>原州区医疗保险服务中心</w:t>
      </w:r>
      <w:r>
        <w:rPr>
          <w:rFonts w:hint="eastAsia" w:ascii="方正小标宋简体" w:hAnsi="方正小标宋简体" w:eastAsia="方正小标宋简体" w:cs="方正小标宋简体"/>
          <w:bCs/>
          <w:sz w:val="44"/>
          <w:szCs w:val="44"/>
        </w:rPr>
        <w:t>2024年      部门预算——单位概况</w:t>
      </w:r>
    </w:p>
    <w:p>
      <w:pPr>
        <w:widowControl/>
        <w:spacing w:line="560" w:lineRule="exact"/>
        <w:jc w:val="center"/>
        <w:outlineLvl w:val="1"/>
        <w:rPr>
          <w:b/>
          <w:sz w:val="32"/>
          <w:szCs w:val="32"/>
        </w:rPr>
      </w:pPr>
    </w:p>
    <w:p>
      <w:pPr>
        <w:widowControl/>
        <w:spacing w:line="560" w:lineRule="exact"/>
        <w:ind w:firstLine="672" w:firstLineChars="200"/>
        <w:jc w:val="left"/>
        <w:rPr>
          <w:rFonts w:ascii="黑体" w:hAnsi="黑体" w:eastAsia="黑体"/>
          <w:b/>
          <w:bCs/>
          <w:sz w:val="32"/>
          <w:szCs w:val="32"/>
        </w:rPr>
      </w:pPr>
      <w:r>
        <w:rPr>
          <w:rFonts w:hint="eastAsia" w:ascii="黑体" w:hAnsi="黑体" w:eastAsia="黑体"/>
          <w:sz w:val="32"/>
          <w:szCs w:val="32"/>
        </w:rPr>
        <w:t>一、主要职能</w:t>
      </w:r>
    </w:p>
    <w:p>
      <w:pPr>
        <w:widowControl/>
        <w:spacing w:line="560" w:lineRule="exact"/>
        <w:ind w:firstLine="672" w:firstLineChars="200"/>
        <w:jc w:val="left"/>
        <w:rPr>
          <w:rFonts w:ascii="仿宋_GB2312" w:eastAsia="仿宋_GB2312"/>
          <w:bCs/>
          <w:sz w:val="32"/>
          <w:szCs w:val="32"/>
        </w:rPr>
      </w:pPr>
      <w:r>
        <w:rPr>
          <w:rFonts w:hint="eastAsia" w:ascii="仿宋_GB2312" w:eastAsia="仿宋_GB2312"/>
          <w:sz w:val="32"/>
          <w:szCs w:val="32"/>
        </w:rPr>
        <w:t>我单位承担着全区城乡居民养老保险信息维护、参保缴费、待遇发放、费用稽核、资格认定、社保卡制作、档案管理、是政府服务窗口的重要组成部分。</w:t>
      </w:r>
      <w:r>
        <w:rPr>
          <w:rFonts w:hint="eastAsia" w:ascii="仿宋_GB2312" w:eastAsia="仿宋_GB2312"/>
          <w:bCs/>
          <w:sz w:val="32"/>
          <w:szCs w:val="32"/>
        </w:rPr>
        <w:t xml:space="preserve"> </w:t>
      </w:r>
    </w:p>
    <w:p>
      <w:pPr>
        <w:widowControl/>
        <w:spacing w:line="560" w:lineRule="exact"/>
        <w:ind w:firstLine="480"/>
        <w:jc w:val="left"/>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二、部门预算单位构成</w:t>
      </w:r>
    </w:p>
    <w:p>
      <w:pPr>
        <w:widowControl/>
        <w:spacing w:line="560" w:lineRule="exact"/>
        <w:jc w:val="left"/>
        <w:rPr>
          <w:rFonts w:ascii="仿宋_GB2312" w:eastAsia="仿宋_GB2312"/>
          <w:sz w:val="32"/>
          <w:szCs w:val="32"/>
        </w:rPr>
      </w:pPr>
      <w:r>
        <w:rPr>
          <w:rFonts w:hint="eastAsia" w:ascii="黑体" w:hAnsi="黑体" w:eastAsia="黑体"/>
          <w:b/>
          <w:bCs/>
          <w:sz w:val="32"/>
          <w:szCs w:val="32"/>
        </w:rPr>
        <w:t xml:space="preserve">    </w:t>
      </w:r>
      <w:r>
        <w:rPr>
          <w:rFonts w:hint="eastAsia" w:ascii="仿宋_GB2312" w:hAnsi="仿宋_GB2312" w:eastAsia="仿宋_GB2312" w:cs="仿宋_GB2312"/>
          <w:sz w:val="32"/>
          <w:szCs w:val="32"/>
        </w:rPr>
        <w:t>原州区社会保险事业管理中心为不定级别全额预算事业单位，编制11名。其中：主任1名，副主任2名，</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他工作人员8名。</w:t>
      </w:r>
    </w:p>
    <w:p>
      <w:pPr>
        <w:widowControl/>
        <w:spacing w:line="560" w:lineRule="exact"/>
        <w:ind w:firstLine="480"/>
        <w:jc w:val="left"/>
        <w:rPr>
          <w:rFonts w:ascii="仿宋_GB2312" w:eastAsia="仿宋_GB2312"/>
          <w:sz w:val="32"/>
          <w:szCs w:val="32"/>
        </w:rPr>
      </w:pPr>
    </w:p>
    <w:p>
      <w:pPr>
        <w:widowControl/>
        <w:spacing w:line="560" w:lineRule="exact"/>
        <w:ind w:firstLine="480"/>
        <w:jc w:val="left"/>
        <w:rPr>
          <w:rFonts w:ascii="仿宋_GB2312" w:eastAsia="仿宋_GB2312"/>
          <w:sz w:val="32"/>
          <w:szCs w:val="32"/>
        </w:rPr>
      </w:pPr>
    </w:p>
    <w:p>
      <w:pPr>
        <w:widowControl/>
        <w:spacing w:line="560" w:lineRule="exact"/>
        <w:ind w:firstLine="480"/>
        <w:jc w:val="left"/>
        <w:rPr>
          <w:rFonts w:ascii="仿宋_GB2312" w:eastAsia="仿宋_GB2312"/>
          <w:sz w:val="32"/>
          <w:szCs w:val="32"/>
        </w:rPr>
      </w:pPr>
    </w:p>
    <w:p>
      <w:pPr>
        <w:widowControl/>
        <w:spacing w:line="560" w:lineRule="exact"/>
        <w:ind w:firstLine="480"/>
        <w:jc w:val="left"/>
        <w:rPr>
          <w:rFonts w:ascii="仿宋_GB2312" w:eastAsia="仿宋_GB2312"/>
          <w:sz w:val="32"/>
          <w:szCs w:val="32"/>
        </w:rPr>
      </w:pPr>
    </w:p>
    <w:p/>
    <w:p/>
    <w:p/>
    <w:p>
      <w:pPr>
        <w:sectPr>
          <w:footerReference r:id="rId3" w:type="default"/>
          <w:pgSz w:w="11906" w:h="16838"/>
          <w:pgMar w:top="1440" w:right="1800" w:bottom="1440" w:left="1800" w:header="851" w:footer="992" w:gutter="0"/>
          <w:pgNumType w:fmt="numberInDash"/>
          <w:cols w:space="720" w:num="1"/>
          <w:docGrid w:type="lines" w:linePitch="312" w:charSpace="0"/>
        </w:sectPr>
      </w:pPr>
    </w:p>
    <w:p>
      <w:pPr>
        <w:widowControl/>
        <w:jc w:val="center"/>
        <w:outlineLvl w:val="1"/>
        <w:rPr>
          <w:rFonts w:ascii="仿宋_GB2312" w:eastAsia="仿宋_GB2312"/>
          <w:b/>
          <w:sz w:val="44"/>
          <w:szCs w:val="44"/>
        </w:rPr>
      </w:pPr>
      <w:r>
        <w:rPr>
          <w:rFonts w:hint="eastAsia"/>
          <w:b/>
          <w:sz w:val="44"/>
          <w:szCs w:val="44"/>
        </w:rPr>
        <w:t>原州区医疗保险服务中心</w:t>
      </w:r>
      <w:r>
        <w:rPr>
          <w:rFonts w:hint="eastAsia" w:ascii="方正小标宋简体" w:hAnsi="方正小标宋简体" w:eastAsia="方正小标宋简体" w:cs="方正小标宋简体"/>
          <w:bCs/>
          <w:sz w:val="44"/>
          <w:szCs w:val="44"/>
        </w:rPr>
        <w:t>2024年部门预算——预算表</w:t>
      </w:r>
    </w:p>
    <w:p>
      <w:pPr>
        <w:widowControl/>
        <w:jc w:val="left"/>
        <w:outlineLvl w:val="1"/>
        <w:rPr>
          <w:rFonts w:ascii="仿宋_GB2312" w:eastAsia="仿宋_GB2312"/>
          <w:b/>
        </w:rPr>
      </w:pPr>
    </w:p>
    <w:p>
      <w:pPr>
        <w:widowControl/>
        <w:spacing w:line="560" w:lineRule="exact"/>
        <w:ind w:firstLine="672" w:firstLineChars="200"/>
        <w:outlineLvl w:val="1"/>
        <w:rPr>
          <w:rFonts w:ascii="黑体" w:eastAsia="黑体"/>
          <w:bCs/>
          <w:sz w:val="32"/>
          <w:szCs w:val="32"/>
        </w:rPr>
      </w:pPr>
      <w:r>
        <w:rPr>
          <w:rFonts w:hint="eastAsia" w:ascii="黑体" w:eastAsia="黑体"/>
          <w:bCs/>
          <w:sz w:val="32"/>
          <w:szCs w:val="32"/>
        </w:rPr>
        <w:t>一、财政拨款收支预算总表</w:t>
      </w:r>
    </w:p>
    <w:p>
      <w:pPr>
        <w:widowControl/>
        <w:spacing w:line="560" w:lineRule="exact"/>
        <w:jc w:val="center"/>
        <w:outlineLvl w:val="1"/>
        <w:rPr>
          <w:rFonts w:ascii="仿宋_GB2312" w:eastAsia="仿宋_GB2312"/>
          <w:b/>
          <w:sz w:val="36"/>
          <w:szCs w:val="36"/>
        </w:rPr>
      </w:pPr>
      <w:r>
        <w:rPr>
          <w:rFonts w:hint="eastAsia" w:ascii="仿宋_GB2312" w:eastAsia="仿宋_GB2312"/>
          <w:b/>
          <w:sz w:val="36"/>
          <w:szCs w:val="36"/>
        </w:rPr>
        <w:t>财政拨款收支预算总表</w:t>
      </w:r>
    </w:p>
    <w:p>
      <w:pPr>
        <w:widowControl/>
        <w:ind w:firstLine="672" w:firstLineChars="200"/>
        <w:outlineLvl w:val="1"/>
        <w:rPr>
          <w:rFonts w:ascii="仿宋_GB2312" w:eastAsia="仿宋_GB2312"/>
          <w:sz w:val="30"/>
          <w:szCs w:val="30"/>
        </w:rPr>
      </w:pPr>
      <w:r>
        <w:rPr>
          <w:rFonts w:hint="eastAsia" w:ascii="仿宋_GB2312" w:eastAsia="仿宋_GB2312"/>
          <w:sz w:val="32"/>
          <w:szCs w:val="32"/>
        </w:rPr>
        <w:t xml:space="preserve">                                                         </w:t>
      </w:r>
      <w:r>
        <w:rPr>
          <w:rFonts w:hint="eastAsia" w:ascii="仿宋_GB2312" w:eastAsia="仿宋_GB2312"/>
          <w:sz w:val="30"/>
          <w:szCs w:val="30"/>
        </w:rPr>
        <w:t xml:space="preserve"> 单位：万元</w:t>
      </w:r>
    </w:p>
    <w:tbl>
      <w:tblPr>
        <w:tblStyle w:val="5"/>
        <w:tblW w:w="0" w:type="auto"/>
        <w:tblInd w:w="91" w:type="dxa"/>
        <w:tblLayout w:type="fixed"/>
        <w:tblCellMar>
          <w:top w:w="0" w:type="dxa"/>
          <w:left w:w="108" w:type="dxa"/>
          <w:bottom w:w="0" w:type="dxa"/>
          <w:right w:w="108" w:type="dxa"/>
        </w:tblCellMar>
      </w:tblPr>
      <w:tblGrid>
        <w:gridCol w:w="3860"/>
        <w:gridCol w:w="1360"/>
        <w:gridCol w:w="3860"/>
        <w:gridCol w:w="1569"/>
        <w:gridCol w:w="1417"/>
        <w:gridCol w:w="1094"/>
      </w:tblGrid>
      <w:tr>
        <w:tblPrEx>
          <w:tblCellMar>
            <w:top w:w="0" w:type="dxa"/>
            <w:left w:w="108" w:type="dxa"/>
            <w:bottom w:w="0" w:type="dxa"/>
            <w:right w:w="108" w:type="dxa"/>
          </w:tblCellMar>
        </w:tblPrEx>
        <w:trPr>
          <w:trHeight w:val="464"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cs="Arial"/>
                <w:b/>
                <w:color w:val="000000"/>
                <w:sz w:val="22"/>
                <w:szCs w:val="22"/>
              </w:rPr>
            </w:pPr>
            <w:r>
              <w:rPr>
                <w:rFonts w:hint="eastAsia" w:cs="Arial"/>
                <w:b/>
                <w:color w:val="00000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cs="Arial"/>
                <w:b/>
                <w:color w:val="000000"/>
                <w:sz w:val="22"/>
                <w:szCs w:val="22"/>
              </w:rPr>
            </w:pPr>
            <w:r>
              <w:rPr>
                <w:rFonts w:hint="eastAsia" w:cs="Arial"/>
                <w:b/>
                <w:color w:val="00000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spacing w:line="240" w:lineRule="exact"/>
              <w:jc w:val="center"/>
              <w:rPr>
                <w:rFonts w:cs="Arial"/>
                <w:b/>
                <w:color w:val="000000"/>
                <w:sz w:val="22"/>
                <w:szCs w:val="22"/>
              </w:rPr>
            </w:pPr>
            <w:r>
              <w:rPr>
                <w:rFonts w:hint="eastAsia" w:cs="Arial"/>
                <w:b/>
                <w:color w:val="00000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spacing w:line="240" w:lineRule="exact"/>
              <w:jc w:val="center"/>
              <w:rPr>
                <w:rFonts w:cs="Arial"/>
                <w:b/>
                <w:color w:val="000000"/>
                <w:sz w:val="22"/>
                <w:szCs w:val="22"/>
              </w:rPr>
            </w:pPr>
            <w:r>
              <w:rPr>
                <w:rFonts w:hint="eastAsia" w:cs="Arial"/>
                <w:b/>
                <w:color w:val="00000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spacing w:line="240" w:lineRule="exact"/>
              <w:jc w:val="center"/>
              <w:rPr>
                <w:rFonts w:cs="Arial"/>
                <w:b/>
                <w:color w:val="000000"/>
                <w:sz w:val="22"/>
                <w:szCs w:val="22"/>
              </w:rPr>
            </w:pPr>
            <w:r>
              <w:rPr>
                <w:rFonts w:hint="eastAsia" w:cs="Arial"/>
                <w:b/>
                <w:color w:val="00000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cs="Arial"/>
                <w:b/>
                <w:color w:val="000000"/>
                <w:sz w:val="22"/>
                <w:szCs w:val="22"/>
              </w:rPr>
            </w:pPr>
            <w:r>
              <w:rPr>
                <w:rFonts w:hint="eastAsia" w:cs="Arial"/>
                <w:b/>
                <w:color w:val="000000"/>
                <w:sz w:val="22"/>
                <w:szCs w:val="22"/>
              </w:rPr>
              <w:t>预算数</w:t>
            </w:r>
          </w:p>
        </w:tc>
      </w:tr>
      <w:tr>
        <w:tblPrEx>
          <w:tblCellMar>
            <w:top w:w="0" w:type="dxa"/>
            <w:left w:w="108" w:type="dxa"/>
            <w:bottom w:w="0" w:type="dxa"/>
            <w:right w:w="108" w:type="dxa"/>
          </w:tblCellMar>
        </w:tblPrEx>
        <w:trPr>
          <w:trHeight w:val="841"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spacing w:line="240" w:lineRule="exact"/>
              <w:jc w:val="center"/>
              <w:rPr>
                <w:rFonts w:cs="Arial"/>
                <w:b/>
                <w:color w:val="00000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spacing w:line="240" w:lineRule="exact"/>
              <w:jc w:val="center"/>
              <w:rPr>
                <w:rFonts w:cs="Arial"/>
                <w:b/>
                <w:color w:val="00000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spacing w:line="240" w:lineRule="exact"/>
              <w:jc w:val="center"/>
              <w:rPr>
                <w:rFonts w:cs="Arial"/>
                <w:b/>
                <w:color w:val="000000"/>
                <w:sz w:val="22"/>
                <w:szCs w:val="22"/>
              </w:rPr>
            </w:pPr>
          </w:p>
        </w:tc>
        <w:tc>
          <w:tcPr>
            <w:tcW w:w="1569" w:type="dxa"/>
            <w:tcBorders>
              <w:top w:val="nil"/>
              <w:left w:val="nil"/>
              <w:bottom w:val="single" w:color="000000" w:sz="4" w:space="0"/>
              <w:right w:val="single" w:color="000000" w:sz="4" w:space="0"/>
            </w:tcBorders>
            <w:vAlign w:val="center"/>
          </w:tcPr>
          <w:p>
            <w:pPr>
              <w:widowControl/>
              <w:spacing w:line="240" w:lineRule="exact"/>
              <w:jc w:val="center"/>
              <w:rPr>
                <w:rFonts w:cs="Arial"/>
                <w:b/>
                <w:color w:val="000000"/>
                <w:sz w:val="22"/>
                <w:szCs w:val="22"/>
              </w:rPr>
            </w:pPr>
            <w:r>
              <w:rPr>
                <w:rFonts w:hint="eastAsia" w:cs="Arial"/>
                <w:b/>
                <w:color w:val="000000"/>
                <w:sz w:val="22"/>
                <w:szCs w:val="22"/>
              </w:rPr>
              <w:t>小计</w:t>
            </w:r>
          </w:p>
        </w:tc>
        <w:tc>
          <w:tcPr>
            <w:tcW w:w="1417" w:type="dxa"/>
            <w:tcBorders>
              <w:top w:val="nil"/>
              <w:left w:val="nil"/>
              <w:bottom w:val="single" w:color="000000" w:sz="4" w:space="0"/>
              <w:right w:val="single" w:color="000000" w:sz="4" w:space="0"/>
            </w:tcBorders>
            <w:vAlign w:val="center"/>
          </w:tcPr>
          <w:p>
            <w:pPr>
              <w:widowControl/>
              <w:spacing w:line="240" w:lineRule="exact"/>
              <w:jc w:val="center"/>
              <w:rPr>
                <w:rFonts w:cs="Arial"/>
                <w:b/>
                <w:color w:val="000000"/>
                <w:sz w:val="22"/>
                <w:szCs w:val="22"/>
              </w:rPr>
            </w:pPr>
            <w:r>
              <w:rPr>
                <w:rFonts w:hint="eastAsia" w:cs="Arial"/>
                <w:b/>
                <w:color w:val="000000"/>
                <w:sz w:val="22"/>
                <w:szCs w:val="22"/>
              </w:rPr>
              <w:t>一般公共预算财政拨款支出</w:t>
            </w:r>
          </w:p>
        </w:tc>
        <w:tc>
          <w:tcPr>
            <w:tcW w:w="1094" w:type="dxa"/>
            <w:tcBorders>
              <w:top w:val="nil"/>
              <w:left w:val="nil"/>
              <w:bottom w:val="single" w:color="000000" w:sz="4" w:space="0"/>
              <w:right w:val="single" w:color="000000" w:sz="4" w:space="0"/>
            </w:tcBorders>
            <w:vAlign w:val="center"/>
          </w:tcPr>
          <w:p>
            <w:pPr>
              <w:widowControl/>
              <w:spacing w:line="240" w:lineRule="exact"/>
              <w:jc w:val="center"/>
              <w:rPr>
                <w:rFonts w:cs="Arial"/>
                <w:b/>
                <w:color w:val="000000"/>
                <w:sz w:val="22"/>
                <w:szCs w:val="22"/>
              </w:rPr>
            </w:pPr>
            <w:r>
              <w:rPr>
                <w:rFonts w:hint="eastAsia" w:cs="Arial"/>
                <w:b/>
                <w:color w:val="00000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b/>
                <w:bCs/>
                <w:color w:val="000000"/>
                <w:sz w:val="22"/>
                <w:szCs w:val="22"/>
              </w:rPr>
            </w:pPr>
            <w:r>
              <w:rPr>
                <w:rFonts w:hint="eastAsia" w:cs="Arial"/>
                <w:b/>
                <w:bCs/>
                <w:color w:val="000000"/>
                <w:sz w:val="22"/>
                <w:szCs w:val="22"/>
              </w:rPr>
              <w:t>一、本年收入</w:t>
            </w:r>
          </w:p>
        </w:tc>
        <w:tc>
          <w:tcPr>
            <w:tcW w:w="1360" w:type="dxa"/>
            <w:tcBorders>
              <w:top w:val="nil"/>
              <w:left w:val="nil"/>
              <w:bottom w:val="single" w:color="000000" w:sz="4" w:space="0"/>
              <w:right w:val="single" w:color="000000" w:sz="4" w:space="0"/>
            </w:tcBorders>
            <w:vAlign w:val="center"/>
          </w:tcPr>
          <w:p>
            <w:pPr>
              <w:jc w:val="center"/>
              <w:rPr>
                <w:color w:val="000000"/>
                <w:sz w:val="22"/>
                <w:szCs w:val="22"/>
              </w:rPr>
            </w:pPr>
            <w:r>
              <w:rPr>
                <w:rFonts w:hint="eastAsia"/>
                <w:color w:val="000000"/>
                <w:sz w:val="22"/>
                <w:szCs w:val="22"/>
              </w:rPr>
              <w:t>385.85</w:t>
            </w: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b/>
                <w:bCs/>
                <w:color w:val="000000"/>
                <w:sz w:val="22"/>
                <w:szCs w:val="22"/>
              </w:rPr>
            </w:pPr>
            <w:r>
              <w:rPr>
                <w:rFonts w:hint="eastAsia" w:cs="Arial"/>
                <w:b/>
                <w:bCs/>
                <w:color w:val="000000"/>
                <w:sz w:val="22"/>
                <w:szCs w:val="22"/>
              </w:rPr>
              <w:t>一、本年支出</w:t>
            </w:r>
          </w:p>
        </w:tc>
        <w:tc>
          <w:tcPr>
            <w:tcW w:w="1569" w:type="dxa"/>
            <w:tcBorders>
              <w:top w:val="nil"/>
              <w:left w:val="nil"/>
              <w:bottom w:val="single" w:color="000000" w:sz="4" w:space="0"/>
              <w:right w:val="single" w:color="000000" w:sz="4" w:space="0"/>
            </w:tcBorders>
            <w:vAlign w:val="center"/>
          </w:tcPr>
          <w:p>
            <w:pPr>
              <w:widowControl/>
              <w:jc w:val="center"/>
              <w:rPr>
                <w:rFonts w:cs="Arial"/>
                <w:color w:val="000000"/>
                <w:sz w:val="22"/>
                <w:szCs w:val="22"/>
              </w:rPr>
            </w:pPr>
            <w:r>
              <w:rPr>
                <w:rFonts w:hint="eastAsia"/>
                <w:color w:val="000000"/>
                <w:sz w:val="22"/>
                <w:szCs w:val="22"/>
              </w:rPr>
              <w:t>385.85</w:t>
            </w: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center"/>
              <w:rPr>
                <w:rFonts w:cs="Arial"/>
                <w:color w:val="000000"/>
                <w:sz w:val="22"/>
                <w:szCs w:val="22"/>
              </w:rPr>
            </w:pPr>
            <w:r>
              <w:rPr>
                <w:rFonts w:hint="eastAsia"/>
                <w:color w:val="000000"/>
                <w:sz w:val="22"/>
                <w:szCs w:val="22"/>
              </w:rPr>
              <w:t>385.85</w:t>
            </w:r>
            <w:r>
              <w:rPr>
                <w:rFonts w:hint="eastAsia" w:cs="Arial"/>
                <w:color w:val="000000"/>
                <w:sz w:val="22"/>
                <w:szCs w:val="22"/>
              </w:rPr>
              <w:t>　</w:t>
            </w:r>
          </w:p>
        </w:tc>
        <w:tc>
          <w:tcPr>
            <w:tcW w:w="1094" w:type="dxa"/>
            <w:tcBorders>
              <w:top w:val="nil"/>
              <w:left w:val="nil"/>
              <w:bottom w:val="single" w:color="000000" w:sz="4" w:space="0"/>
              <w:right w:val="single" w:color="000000" w:sz="4" w:space="0"/>
            </w:tcBorders>
            <w:vAlign w:val="center"/>
          </w:tcPr>
          <w:p>
            <w:pPr>
              <w:widowControl/>
              <w:jc w:val="center"/>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olor w:val="000000"/>
                <w:sz w:val="22"/>
                <w:szCs w:val="22"/>
              </w:rPr>
              <w:t>385.85</w:t>
            </w: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（一）一般公共服务支出</w:t>
            </w:r>
          </w:p>
        </w:tc>
        <w:tc>
          <w:tcPr>
            <w:tcW w:w="1569" w:type="dxa"/>
            <w:tcBorders>
              <w:top w:val="nil"/>
              <w:left w:val="nil"/>
              <w:bottom w:val="single" w:color="000000" w:sz="4" w:space="0"/>
              <w:right w:val="single" w:color="000000" w:sz="4" w:space="0"/>
            </w:tcBorders>
          </w:tcPr>
          <w:p>
            <w:pPr>
              <w:rPr>
                <w:rFonts w:cs="Arial"/>
                <w:color w:val="000000"/>
                <w:sz w:val="18"/>
                <w:szCs w:val="18"/>
              </w:rPr>
            </w:pPr>
            <w:r>
              <w:rPr>
                <w:rFonts w:hint="eastAsia" w:cs="Arial"/>
                <w:color w:val="000000"/>
                <w:sz w:val="18"/>
                <w:szCs w:val="18"/>
              </w:rPr>
              <w:t>5.4</w:t>
            </w:r>
          </w:p>
        </w:tc>
        <w:tc>
          <w:tcPr>
            <w:tcW w:w="1417" w:type="dxa"/>
            <w:tcBorders>
              <w:top w:val="nil"/>
              <w:left w:val="nil"/>
              <w:bottom w:val="single" w:color="000000" w:sz="4" w:space="0"/>
              <w:right w:val="single" w:color="000000" w:sz="4" w:space="0"/>
            </w:tcBorders>
          </w:tcPr>
          <w:p>
            <w:pPr>
              <w:rPr>
                <w:rFonts w:cs="Arial"/>
                <w:color w:val="000000"/>
                <w:sz w:val="18"/>
                <w:szCs w:val="18"/>
              </w:rPr>
            </w:pPr>
            <w:r>
              <w:rPr>
                <w:rFonts w:hint="eastAsia" w:cs="Arial"/>
                <w:color w:val="000000"/>
                <w:sz w:val="18"/>
                <w:szCs w:val="18"/>
              </w:rPr>
              <w:t>5.4</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（二）外交支出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auto"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auto"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（三）国防支出</w:t>
            </w:r>
          </w:p>
        </w:tc>
        <w:tc>
          <w:tcPr>
            <w:tcW w:w="1569"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646" w:hRule="atLeast"/>
        </w:trPr>
        <w:tc>
          <w:tcPr>
            <w:tcW w:w="3860" w:type="dxa"/>
            <w:tcBorders>
              <w:top w:val="single" w:color="auto" w:sz="4" w:space="0"/>
              <w:left w:val="single" w:color="auto" w:sz="4"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（四）公共安全支出</w:t>
            </w:r>
          </w:p>
        </w:tc>
        <w:tc>
          <w:tcPr>
            <w:tcW w:w="1569"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single" w:color="auto" w:sz="4" w:space="0"/>
              <w:left w:val="nil"/>
              <w:bottom w:val="single" w:color="000000" w:sz="4" w:space="0"/>
              <w:right w:val="single" w:color="auto"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auto" w:sz="4" w:space="0"/>
              <w:bottom w:val="single" w:color="auto"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auto"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（五）教育支出</w:t>
            </w:r>
          </w:p>
        </w:tc>
        <w:tc>
          <w:tcPr>
            <w:tcW w:w="1569"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auto" w:sz="4" w:space="0"/>
              <w:right w:val="single" w:color="auto"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（六）科学技术支出</w:t>
            </w:r>
          </w:p>
        </w:tc>
        <w:tc>
          <w:tcPr>
            <w:tcW w:w="1569"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（七）文化旅游体育与传媒支出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（八）社会保障和就业支出</w:t>
            </w:r>
          </w:p>
        </w:tc>
        <w:tc>
          <w:tcPr>
            <w:tcW w:w="1569"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34.24　</w:t>
            </w:r>
          </w:p>
        </w:tc>
        <w:tc>
          <w:tcPr>
            <w:tcW w:w="1417"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34.24　</w:t>
            </w:r>
          </w:p>
        </w:tc>
        <w:tc>
          <w:tcPr>
            <w:tcW w:w="1094"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（九）卫生健康支出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311.21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311.21　</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（十）节能环保支出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（十一）城乡社区支出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（十二）农林水支出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（十三）交通运输支出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（十四）资源勘探信息等支出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（十五）商业服务业等支出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auto"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auto"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（十六）金融支出</w:t>
            </w:r>
          </w:p>
        </w:tc>
        <w:tc>
          <w:tcPr>
            <w:tcW w:w="1569"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auto" w:sz="4"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（十七）自然资源海洋气象等支出</w:t>
            </w:r>
          </w:p>
        </w:tc>
        <w:tc>
          <w:tcPr>
            <w:tcW w:w="1569"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single" w:color="auto" w:sz="4" w:space="0"/>
              <w:left w:val="nil"/>
              <w:bottom w:val="single" w:color="000000" w:sz="4" w:space="0"/>
              <w:right w:val="single" w:color="auto"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auto" w:sz="4"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（十八）住房保障支出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34.99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34.99　</w:t>
            </w:r>
          </w:p>
        </w:tc>
        <w:tc>
          <w:tcPr>
            <w:tcW w:w="1094" w:type="dxa"/>
            <w:tcBorders>
              <w:top w:val="nil"/>
              <w:left w:val="nil"/>
              <w:bottom w:val="single" w:color="000000" w:sz="4" w:space="0"/>
              <w:right w:val="single" w:color="auto"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auto" w:sz="4"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（十九）粮油物资储备支出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auto"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auto" w:sz="4"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（二十）灾害防治及应急管理支出</w:t>
            </w:r>
          </w:p>
        </w:tc>
        <w:tc>
          <w:tcPr>
            <w:tcW w:w="1569"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auto"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auto" w:sz="4" w:space="0"/>
              <w:bottom w:val="single" w:color="auto" w:sz="4" w:space="0"/>
              <w:right w:val="single" w:color="000000" w:sz="4" w:space="0"/>
            </w:tcBorders>
            <w:vAlign w:val="center"/>
          </w:tcPr>
          <w:p>
            <w:pPr>
              <w:widowControl/>
              <w:jc w:val="left"/>
              <w:rPr>
                <w:rFonts w:cs="Arial"/>
                <w:color w:val="000000"/>
                <w:sz w:val="22"/>
                <w:szCs w:val="22"/>
              </w:rPr>
            </w:pPr>
          </w:p>
        </w:tc>
        <w:tc>
          <w:tcPr>
            <w:tcW w:w="1360"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p>
        </w:tc>
        <w:tc>
          <w:tcPr>
            <w:tcW w:w="3860" w:type="dxa"/>
            <w:tcBorders>
              <w:top w:val="nil"/>
              <w:left w:val="nil"/>
              <w:bottom w:val="single" w:color="auto"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（二十一）其他支出</w:t>
            </w:r>
          </w:p>
        </w:tc>
        <w:tc>
          <w:tcPr>
            <w:tcW w:w="1569"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p>
        </w:tc>
        <w:tc>
          <w:tcPr>
            <w:tcW w:w="1417" w:type="dxa"/>
            <w:tcBorders>
              <w:top w:val="nil"/>
              <w:left w:val="nil"/>
              <w:bottom w:val="single" w:color="auto" w:sz="4" w:space="0"/>
              <w:right w:val="single" w:color="000000" w:sz="4" w:space="0"/>
            </w:tcBorders>
            <w:vAlign w:val="center"/>
          </w:tcPr>
          <w:p>
            <w:pPr>
              <w:widowControl/>
              <w:jc w:val="right"/>
              <w:rPr>
                <w:rFonts w:cs="Arial"/>
                <w:color w:val="000000"/>
                <w:sz w:val="22"/>
                <w:szCs w:val="22"/>
              </w:rPr>
            </w:pPr>
          </w:p>
        </w:tc>
        <w:tc>
          <w:tcPr>
            <w:tcW w:w="1094" w:type="dxa"/>
            <w:tcBorders>
              <w:top w:val="nil"/>
              <w:left w:val="nil"/>
              <w:bottom w:val="single" w:color="auto" w:sz="4" w:space="0"/>
              <w:right w:val="single" w:color="auto" w:sz="4" w:space="0"/>
            </w:tcBorders>
            <w:vAlign w:val="center"/>
          </w:tcPr>
          <w:p>
            <w:pPr>
              <w:widowControl/>
              <w:jc w:val="right"/>
              <w:rPr>
                <w:rFonts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cs="Arial"/>
                <w:b/>
                <w:bCs/>
                <w:color w:val="000000"/>
                <w:sz w:val="22"/>
                <w:szCs w:val="22"/>
              </w:rPr>
            </w:pPr>
            <w:r>
              <w:rPr>
                <w:rFonts w:hint="eastAsia" w:cs="Arial"/>
                <w:b/>
                <w:bCs/>
                <w:color w:val="000000"/>
                <w:sz w:val="22"/>
                <w:szCs w:val="22"/>
              </w:rPr>
              <w:t>二、上年结转结余</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cs="Arial"/>
                <w:b/>
                <w:bCs/>
                <w:color w:val="000000"/>
                <w:sz w:val="22"/>
                <w:szCs w:val="22"/>
              </w:rPr>
            </w:pPr>
            <w:r>
              <w:rPr>
                <w:rFonts w:hint="eastAsia" w:cs="Arial"/>
                <w:b/>
                <w:bCs/>
                <w:color w:val="000000"/>
                <w:sz w:val="22"/>
                <w:szCs w:val="22"/>
              </w:rPr>
              <w:t>　二、年末结转结余</w:t>
            </w:r>
          </w:p>
        </w:tc>
        <w:tc>
          <w:tcPr>
            <w:tcW w:w="1569"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single" w:color="auto" w:sz="4" w:space="0"/>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（一）一般公共预算财政拨款</w:t>
            </w:r>
          </w:p>
        </w:tc>
        <w:tc>
          <w:tcPr>
            <w:tcW w:w="1569" w:type="dxa"/>
            <w:tcBorders>
              <w:top w:val="nil"/>
              <w:left w:val="nil"/>
              <w:bottom w:val="nil"/>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cs="Arial"/>
                <w:color w:val="000000"/>
                <w:sz w:val="22"/>
                <w:szCs w:val="22"/>
              </w:rPr>
            </w:pPr>
            <w:r>
              <w:rPr>
                <w:rFonts w:hint="eastAsia" w:cs="Arial"/>
                <w:color w:val="00000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3860" w:type="dxa"/>
            <w:tcBorders>
              <w:top w:val="nil"/>
              <w:left w:val="nil"/>
              <w:bottom w:val="single" w:color="000000" w:sz="4" w:space="0"/>
              <w:right w:val="nil"/>
            </w:tcBorders>
            <w:vAlign w:val="center"/>
          </w:tcPr>
          <w:p>
            <w:pPr>
              <w:widowControl/>
              <w:jc w:val="left"/>
              <w:rPr>
                <w:rFonts w:cs="Arial"/>
                <w:color w:val="000000"/>
                <w:sz w:val="22"/>
                <w:szCs w:val="22"/>
              </w:rPr>
            </w:pPr>
            <w:r>
              <w:rPr>
                <w:rFonts w:hint="eastAsia" w:cs="Arial"/>
                <w:color w:val="000000"/>
                <w:sz w:val="22"/>
                <w:szCs w:val="22"/>
              </w:rPr>
              <w:t>（二）政府性基金预算财政拨款</w:t>
            </w:r>
          </w:p>
        </w:tc>
        <w:tc>
          <w:tcPr>
            <w:tcW w:w="1569" w:type="dxa"/>
            <w:tcBorders>
              <w:top w:val="single" w:color="auto" w:sz="4" w:space="0"/>
              <w:left w:val="single" w:color="auto" w:sz="4" w:space="0"/>
              <w:bottom w:val="single" w:color="auto" w:sz="4" w:space="0"/>
              <w:right w:val="single" w:color="auto"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417"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c>
          <w:tcPr>
            <w:tcW w:w="1094" w:type="dxa"/>
            <w:tcBorders>
              <w:top w:val="nil"/>
              <w:left w:val="nil"/>
              <w:bottom w:val="single" w:color="000000" w:sz="4" w:space="0"/>
              <w:right w:val="single" w:color="000000" w:sz="4" w:space="0"/>
            </w:tcBorders>
            <w:vAlign w:val="center"/>
          </w:tcPr>
          <w:p>
            <w:pPr>
              <w:widowControl/>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cs="Arial"/>
                <w:b/>
                <w:bCs/>
                <w:color w:val="000000"/>
                <w:sz w:val="22"/>
                <w:szCs w:val="22"/>
              </w:rPr>
            </w:pPr>
            <w:r>
              <w:rPr>
                <w:rFonts w:hint="eastAsia" w:cs="Arial"/>
                <w:b/>
                <w:bCs/>
                <w:color w:val="00000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right"/>
              <w:rPr>
                <w:rFonts w:cs="Arial"/>
                <w:color w:val="000000"/>
                <w:sz w:val="22"/>
                <w:szCs w:val="22"/>
              </w:rPr>
            </w:pPr>
            <w:r>
              <w:rPr>
                <w:rFonts w:hint="eastAsia" w:cs="Arial"/>
                <w:b/>
                <w:bCs/>
                <w:color w:val="000000"/>
                <w:sz w:val="22"/>
                <w:szCs w:val="22"/>
              </w:rPr>
              <w:t>385.85</w:t>
            </w:r>
            <w:r>
              <w:rPr>
                <w:rFonts w:hint="eastAsia" w:cs="Arial"/>
                <w:color w:val="000000"/>
                <w:sz w:val="22"/>
                <w:szCs w:val="22"/>
              </w:rPr>
              <w:t>　</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cs="Arial"/>
                <w:b/>
                <w:bCs/>
                <w:color w:val="000000"/>
                <w:sz w:val="22"/>
                <w:szCs w:val="22"/>
              </w:rPr>
            </w:pPr>
            <w:r>
              <w:rPr>
                <w:rFonts w:hint="eastAsia" w:cs="Arial"/>
                <w:b/>
                <w:bCs/>
                <w:color w:val="000000"/>
                <w:sz w:val="22"/>
                <w:szCs w:val="22"/>
              </w:rPr>
              <w:t>支出总计385.85</w:t>
            </w:r>
          </w:p>
        </w:tc>
      </w:tr>
    </w:tbl>
    <w:p>
      <w:pPr>
        <w:widowControl/>
        <w:outlineLvl w:val="1"/>
        <w:rPr>
          <w:rFonts w:ascii="仿宋_GB2312" w:eastAsia="仿宋_GB2312"/>
          <w:sz w:val="32"/>
          <w:szCs w:val="32"/>
        </w:rPr>
      </w:pPr>
      <w:r>
        <w:rPr>
          <w:rFonts w:hint="eastAsia" w:ascii="仿宋_GB2312" w:eastAsia="仿宋_GB2312"/>
          <w:sz w:val="32"/>
          <w:szCs w:val="32"/>
        </w:rPr>
        <w:t>注：支出预算功能科目各单位根据本单位实际据实填写，其他科目删除。</w:t>
      </w:r>
    </w:p>
    <w:p>
      <w:pPr>
        <w:widowControl/>
        <w:spacing w:line="560" w:lineRule="exact"/>
        <w:ind w:firstLine="672" w:firstLineChars="200"/>
        <w:outlineLvl w:val="1"/>
        <w:rPr>
          <w:rFonts w:ascii="黑体" w:eastAsia="黑体"/>
          <w:bCs/>
          <w:sz w:val="32"/>
          <w:szCs w:val="32"/>
        </w:rPr>
      </w:pPr>
      <w:r>
        <w:rPr>
          <w:rFonts w:hint="eastAsia" w:ascii="黑体" w:eastAsia="黑体"/>
          <w:bCs/>
          <w:sz w:val="32"/>
          <w:szCs w:val="32"/>
        </w:rPr>
        <w:t>二、一般公共预算财政拨款支出表</w:t>
      </w:r>
    </w:p>
    <w:p>
      <w:pPr>
        <w:widowControl/>
        <w:spacing w:line="560" w:lineRule="exact"/>
        <w:ind w:firstLine="752" w:firstLineChars="200"/>
        <w:jc w:val="center"/>
        <w:outlineLvl w:val="1"/>
        <w:rPr>
          <w:rFonts w:ascii="方正小标宋简体" w:hAnsi="方正小标宋简体" w:eastAsia="方正小标宋简体" w:cs="方正小标宋简体"/>
          <w:bCs/>
          <w:sz w:val="36"/>
          <w:szCs w:val="36"/>
        </w:rPr>
      </w:pPr>
    </w:p>
    <w:p>
      <w:pPr>
        <w:widowControl/>
        <w:spacing w:line="560" w:lineRule="exact"/>
        <w:ind w:firstLine="912" w:firstLineChars="200"/>
        <w:jc w:val="center"/>
        <w:outlineLvl w:val="1"/>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一般公共预算财政拨款支出表</w:t>
      </w:r>
    </w:p>
    <w:p>
      <w:pPr>
        <w:widowControl/>
        <w:ind w:firstLine="735"/>
        <w:jc w:val="left"/>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0"/>
          <w:szCs w:val="30"/>
        </w:rPr>
        <w:t xml:space="preserve"> 单位：万元</w:t>
      </w:r>
    </w:p>
    <w:tbl>
      <w:tblPr>
        <w:tblStyle w:val="5"/>
        <w:tblW w:w="0" w:type="auto"/>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spacing w:line="240" w:lineRule="exact"/>
              <w:rPr>
                <w:b/>
                <w:bCs/>
                <w:sz w:val="22"/>
                <w:szCs w:val="22"/>
              </w:rPr>
            </w:pPr>
            <w:r>
              <w:rPr>
                <w:rFonts w:hint="eastAsia"/>
                <w:b/>
                <w:bCs/>
                <w:sz w:val="22"/>
                <w:szCs w:val="22"/>
              </w:rPr>
              <w:t>2023年执行数（决算数）</w:t>
            </w:r>
          </w:p>
          <w:p>
            <w:pPr>
              <w:spacing w:line="240" w:lineRule="exact"/>
              <w:rPr>
                <w:b/>
                <w:bCs/>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2024年预算数</w:t>
            </w:r>
          </w:p>
        </w:tc>
        <w:tc>
          <w:tcPr>
            <w:tcW w:w="2714" w:type="dxa"/>
            <w:gridSpan w:val="3"/>
            <w:tcBorders>
              <w:top w:val="single" w:color="auto" w:sz="4" w:space="0"/>
              <w:bottom w:val="single" w:color="auto" w:sz="4" w:space="0"/>
              <w:right w:val="single" w:color="auto" w:sz="4" w:space="0"/>
            </w:tcBorders>
            <w:vAlign w:val="center"/>
          </w:tcPr>
          <w:p>
            <w:pPr>
              <w:widowControl/>
              <w:spacing w:line="240" w:lineRule="exact"/>
              <w:jc w:val="center"/>
              <w:rPr>
                <w:sz w:val="20"/>
                <w:szCs w:val="20"/>
              </w:rPr>
            </w:pPr>
            <w:r>
              <w:rPr>
                <w:rFonts w:hint="eastAsia"/>
                <w:b/>
                <w:bCs/>
                <w:sz w:val="22"/>
                <w:szCs w:val="22"/>
              </w:rPr>
              <w:t>2024年预算数与2023年执行数（决算数）</w:t>
            </w:r>
          </w:p>
        </w:tc>
      </w:tr>
      <w:tr>
        <w:tblPrEx>
          <w:tblCellMar>
            <w:top w:w="0" w:type="dxa"/>
            <w:left w:w="108" w:type="dxa"/>
            <w:bottom w:w="0" w:type="dxa"/>
            <w:right w:w="108" w:type="dxa"/>
          </w:tblCellMar>
        </w:tblPrEx>
        <w:trPr>
          <w:trHeight w:val="757" w:hRule="atLeast"/>
        </w:trPr>
        <w:tc>
          <w:tcPr>
            <w:tcW w:w="1637" w:type="dxa"/>
            <w:tcBorders>
              <w:top w:val="nil"/>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科目编码</w:t>
            </w:r>
          </w:p>
        </w:tc>
        <w:tc>
          <w:tcPr>
            <w:tcW w:w="1980"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科目名称</w:t>
            </w:r>
          </w:p>
        </w:tc>
        <w:tc>
          <w:tcPr>
            <w:tcW w:w="1779" w:type="dxa"/>
            <w:vMerge w:val="continue"/>
            <w:tcBorders>
              <w:left w:val="nil"/>
              <w:bottom w:val="single" w:color="auto" w:sz="4" w:space="0"/>
              <w:right w:val="single" w:color="auto" w:sz="4" w:space="0"/>
            </w:tcBorders>
            <w:vAlign w:val="center"/>
          </w:tcPr>
          <w:p>
            <w:pPr>
              <w:widowControl/>
              <w:spacing w:line="240" w:lineRule="exact"/>
              <w:jc w:val="center"/>
              <w:rPr>
                <w:b/>
                <w:bCs/>
                <w:sz w:val="22"/>
                <w:szCs w:val="22"/>
              </w:rPr>
            </w:pPr>
          </w:p>
        </w:tc>
        <w:tc>
          <w:tcPr>
            <w:tcW w:w="1620"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合计</w:t>
            </w:r>
          </w:p>
        </w:tc>
        <w:tc>
          <w:tcPr>
            <w:tcW w:w="1800"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项目支出</w:t>
            </w:r>
          </w:p>
        </w:tc>
        <w:tc>
          <w:tcPr>
            <w:tcW w:w="236" w:type="dxa"/>
            <w:tcBorders>
              <w:top w:val="single" w:color="auto" w:sz="4" w:space="0"/>
              <w:bottom w:val="single" w:color="auto" w:sz="4" w:space="0"/>
            </w:tcBorders>
            <w:vAlign w:val="center"/>
          </w:tcPr>
          <w:p>
            <w:pPr>
              <w:widowControl/>
              <w:spacing w:line="240" w:lineRule="exact"/>
              <w:jc w:val="center"/>
              <w:rPr>
                <w:sz w:val="20"/>
                <w:szCs w:val="20"/>
              </w:rPr>
            </w:pPr>
          </w:p>
        </w:tc>
        <w:tc>
          <w:tcPr>
            <w:tcW w:w="1024" w:type="dxa"/>
            <w:tcBorders>
              <w:top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left"/>
              <w:rPr>
                <w:sz w:val="20"/>
                <w:szCs w:val="20"/>
              </w:rPr>
            </w:pPr>
            <w:r>
              <w:rPr>
                <w:rFonts w:hint="eastAsia"/>
                <w:sz w:val="20"/>
                <w:szCs w:val="20"/>
              </w:rPr>
              <w:t>　</w:t>
            </w:r>
            <w:r>
              <w:rPr>
                <w:sz w:val="20"/>
                <w:szCs w:val="20"/>
              </w:rPr>
              <w:t>2019999</w:t>
            </w:r>
          </w:p>
        </w:tc>
        <w:tc>
          <w:tcPr>
            <w:tcW w:w="1980" w:type="dxa"/>
            <w:tcBorders>
              <w:top w:val="nil"/>
              <w:left w:val="nil"/>
              <w:bottom w:val="single" w:color="auto" w:sz="4" w:space="0"/>
              <w:right w:val="single" w:color="auto" w:sz="4" w:space="0"/>
            </w:tcBorders>
            <w:vAlign w:val="center"/>
          </w:tcPr>
          <w:p>
            <w:pPr>
              <w:jc w:val="left"/>
              <w:rPr>
                <w:rFonts w:cs="Arial"/>
                <w:color w:val="000000"/>
                <w:sz w:val="18"/>
                <w:szCs w:val="18"/>
              </w:rPr>
            </w:pPr>
            <w:r>
              <w:rPr>
                <w:rFonts w:hint="eastAsia" w:cs="Arial"/>
                <w:color w:val="000000"/>
                <w:sz w:val="18"/>
                <w:szCs w:val="18"/>
              </w:rPr>
              <w:t>其他一般公共服务支出</w:t>
            </w:r>
          </w:p>
          <w:p>
            <w:pPr>
              <w:widowControl/>
              <w:jc w:val="left"/>
              <w:rPr>
                <w:sz w:val="20"/>
                <w:szCs w:val="20"/>
              </w:rPr>
            </w:pPr>
          </w:p>
        </w:tc>
        <w:tc>
          <w:tcPr>
            <w:tcW w:w="1779" w:type="dxa"/>
            <w:tcBorders>
              <w:top w:val="nil"/>
              <w:left w:val="nil"/>
              <w:bottom w:val="single" w:color="auto" w:sz="4" w:space="0"/>
              <w:right w:val="single" w:color="auto" w:sz="4" w:space="0"/>
            </w:tcBorders>
            <w:vAlign w:val="center"/>
          </w:tcPr>
          <w:p>
            <w:pPr>
              <w:jc w:val="right"/>
              <w:rPr>
                <w:sz w:val="20"/>
                <w:szCs w:val="20"/>
              </w:rPr>
            </w:pPr>
            <w:r>
              <w:rPr>
                <w:rFonts w:hint="eastAsia" w:ascii="新宋体" w:hAnsi="新宋体" w:eastAsia="新宋体" w:cs="Arial"/>
                <w:color w:val="000000"/>
                <w:sz w:val="22"/>
                <w:szCs w:val="22"/>
              </w:rPr>
              <w:t>6.35</w:t>
            </w:r>
            <w:r>
              <w:rPr>
                <w:rFonts w:hint="eastAsia"/>
                <w:sz w:val="20"/>
                <w:szCs w:val="20"/>
              </w:rPr>
              <w:t>　</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5.4</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5.4</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260" w:type="dxa"/>
            <w:gridSpan w:val="2"/>
            <w:tcBorders>
              <w:bottom w:val="single" w:color="auto" w:sz="4" w:space="0"/>
              <w:right w:val="single" w:color="auto" w:sz="4" w:space="0"/>
            </w:tcBorders>
          </w:tcPr>
          <w:p>
            <w:pPr>
              <w:widowControl/>
              <w:jc w:val="left"/>
              <w:rPr>
                <w:sz w:val="20"/>
                <w:szCs w:val="20"/>
              </w:rPr>
            </w:pPr>
            <w:r>
              <w:rPr>
                <w:rFonts w:hint="eastAsia"/>
                <w:sz w:val="20"/>
                <w:szCs w:val="20"/>
              </w:rPr>
              <w:t>-0.95</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-14.96</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2080505</w:t>
            </w:r>
          </w:p>
        </w:tc>
        <w:tc>
          <w:tcPr>
            <w:tcW w:w="1980" w:type="dxa"/>
            <w:tcBorders>
              <w:top w:val="nil"/>
              <w:left w:val="nil"/>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机关事业单位基本养老保险缴费支出</w:t>
            </w:r>
          </w:p>
        </w:tc>
        <w:tc>
          <w:tcPr>
            <w:tcW w:w="1779" w:type="dxa"/>
            <w:tcBorders>
              <w:top w:val="nil"/>
              <w:left w:val="nil"/>
              <w:bottom w:val="single" w:color="auto" w:sz="4" w:space="0"/>
              <w:right w:val="single" w:color="auto" w:sz="4" w:space="0"/>
            </w:tcBorders>
            <w:vAlign w:val="center"/>
          </w:tcPr>
          <w:p>
            <w:pPr>
              <w:jc w:val="right"/>
              <w:rPr>
                <w:rFonts w:ascii="新宋体" w:hAnsi="新宋体" w:eastAsia="新宋体" w:cs="Arial"/>
                <w:color w:val="000000"/>
                <w:sz w:val="22"/>
                <w:szCs w:val="22"/>
              </w:rPr>
            </w:pPr>
            <w:r>
              <w:rPr>
                <w:rFonts w:hint="eastAsia" w:ascii="新宋体" w:hAnsi="新宋体" w:eastAsia="新宋体" w:cs="Arial"/>
                <w:color w:val="000000"/>
                <w:sz w:val="22"/>
                <w:szCs w:val="22"/>
              </w:rPr>
              <w:t>20.72</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22.83</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22.83</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260" w:type="dxa"/>
            <w:gridSpan w:val="2"/>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2.11</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10.18</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2080506</w:t>
            </w:r>
          </w:p>
        </w:tc>
        <w:tc>
          <w:tcPr>
            <w:tcW w:w="1980" w:type="dxa"/>
            <w:tcBorders>
              <w:top w:val="nil"/>
              <w:left w:val="nil"/>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机关事业单位职业年金缴费支出</w:t>
            </w:r>
          </w:p>
        </w:tc>
        <w:tc>
          <w:tcPr>
            <w:tcW w:w="1779" w:type="dxa"/>
            <w:tcBorders>
              <w:top w:val="nil"/>
              <w:left w:val="nil"/>
              <w:bottom w:val="single" w:color="auto" w:sz="4" w:space="0"/>
              <w:right w:val="single" w:color="auto" w:sz="4" w:space="0"/>
            </w:tcBorders>
            <w:vAlign w:val="center"/>
          </w:tcPr>
          <w:p>
            <w:pPr>
              <w:jc w:val="right"/>
              <w:rPr>
                <w:rFonts w:ascii="新宋体" w:hAnsi="新宋体" w:eastAsia="新宋体" w:cs="Arial"/>
                <w:color w:val="000000"/>
                <w:sz w:val="22"/>
                <w:szCs w:val="22"/>
              </w:rPr>
            </w:pPr>
            <w:r>
              <w:rPr>
                <w:rFonts w:hint="eastAsia" w:ascii="新宋体" w:hAnsi="新宋体" w:eastAsia="新宋体" w:cs="Arial"/>
                <w:color w:val="000000"/>
                <w:sz w:val="22"/>
                <w:szCs w:val="22"/>
              </w:rPr>
              <w:t>16.66</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11.41</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11.41</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260" w:type="dxa"/>
            <w:gridSpan w:val="2"/>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-5.25</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-31.51</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2101103</w:t>
            </w:r>
          </w:p>
        </w:tc>
        <w:tc>
          <w:tcPr>
            <w:tcW w:w="1980" w:type="dxa"/>
            <w:tcBorders>
              <w:top w:val="nil"/>
              <w:left w:val="nil"/>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公务员医疗补助</w:t>
            </w:r>
          </w:p>
        </w:tc>
        <w:tc>
          <w:tcPr>
            <w:tcW w:w="1779" w:type="dxa"/>
            <w:tcBorders>
              <w:top w:val="nil"/>
              <w:left w:val="nil"/>
              <w:bottom w:val="single" w:color="auto" w:sz="4" w:space="0"/>
              <w:right w:val="single" w:color="auto" w:sz="4" w:space="0"/>
            </w:tcBorders>
            <w:vAlign w:val="center"/>
          </w:tcPr>
          <w:p>
            <w:pPr>
              <w:jc w:val="right"/>
              <w:rPr>
                <w:rFonts w:ascii="新宋体" w:hAnsi="新宋体" w:eastAsia="新宋体" w:cs="Arial"/>
                <w:color w:val="000000"/>
                <w:sz w:val="22"/>
                <w:szCs w:val="22"/>
              </w:rPr>
            </w:pPr>
            <w:r>
              <w:rPr>
                <w:rFonts w:hint="eastAsia" w:ascii="新宋体" w:hAnsi="新宋体" w:eastAsia="新宋体" w:cs="Arial"/>
                <w:color w:val="000000"/>
                <w:sz w:val="22"/>
                <w:szCs w:val="22"/>
              </w:rPr>
              <w:t>1.64</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3.09</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3.09</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260" w:type="dxa"/>
            <w:gridSpan w:val="2"/>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1.45</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88.41</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2101199</w:t>
            </w:r>
          </w:p>
        </w:tc>
        <w:tc>
          <w:tcPr>
            <w:tcW w:w="1980" w:type="dxa"/>
            <w:tcBorders>
              <w:top w:val="nil"/>
              <w:left w:val="nil"/>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其他行政事业单位医疗支出</w:t>
            </w:r>
          </w:p>
        </w:tc>
        <w:tc>
          <w:tcPr>
            <w:tcW w:w="1779" w:type="dxa"/>
            <w:tcBorders>
              <w:top w:val="nil"/>
              <w:left w:val="nil"/>
              <w:bottom w:val="single" w:color="auto" w:sz="4" w:space="0"/>
              <w:right w:val="single" w:color="auto" w:sz="4" w:space="0"/>
            </w:tcBorders>
            <w:vAlign w:val="center"/>
          </w:tcPr>
          <w:p>
            <w:pPr>
              <w:jc w:val="right"/>
              <w:rPr>
                <w:rFonts w:ascii="新宋体" w:hAnsi="新宋体" w:eastAsia="新宋体" w:cs="Arial"/>
                <w:color w:val="000000"/>
                <w:sz w:val="22"/>
                <w:szCs w:val="22"/>
              </w:rPr>
            </w:pPr>
            <w:r>
              <w:rPr>
                <w:rFonts w:hint="eastAsia" w:ascii="新宋体" w:hAnsi="新宋体" w:eastAsia="新宋体" w:cs="Arial"/>
                <w:color w:val="000000"/>
                <w:sz w:val="22"/>
                <w:szCs w:val="22"/>
              </w:rPr>
              <w:t>8.73</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9.94</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9.94</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260" w:type="dxa"/>
            <w:gridSpan w:val="2"/>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1.21</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13.86</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2101202</w:t>
            </w:r>
          </w:p>
        </w:tc>
        <w:tc>
          <w:tcPr>
            <w:tcW w:w="1980" w:type="dxa"/>
            <w:tcBorders>
              <w:top w:val="nil"/>
              <w:left w:val="nil"/>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财政对城乡居民基本医疗保险基金的补助</w:t>
            </w:r>
          </w:p>
        </w:tc>
        <w:tc>
          <w:tcPr>
            <w:tcW w:w="1779" w:type="dxa"/>
            <w:tcBorders>
              <w:top w:val="nil"/>
              <w:left w:val="nil"/>
              <w:bottom w:val="single" w:color="auto" w:sz="4" w:space="0"/>
              <w:right w:val="single" w:color="auto" w:sz="4" w:space="0"/>
            </w:tcBorders>
            <w:vAlign w:val="center"/>
          </w:tcPr>
          <w:p>
            <w:pPr>
              <w:jc w:val="right"/>
              <w:rPr>
                <w:rFonts w:ascii="新宋体" w:hAnsi="新宋体" w:eastAsia="新宋体" w:cs="Arial"/>
                <w:color w:val="000000"/>
                <w:sz w:val="22"/>
                <w:szCs w:val="22"/>
              </w:rPr>
            </w:pPr>
            <w:r>
              <w:rPr>
                <w:rFonts w:hint="eastAsia" w:ascii="新宋体" w:hAnsi="新宋体" w:eastAsia="新宋体" w:cs="Arial"/>
                <w:color w:val="000000"/>
                <w:sz w:val="22"/>
                <w:szCs w:val="22"/>
              </w:rPr>
              <w:t>474.66</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50</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50</w:t>
            </w:r>
          </w:p>
        </w:tc>
        <w:tc>
          <w:tcPr>
            <w:tcW w:w="1260" w:type="dxa"/>
            <w:gridSpan w:val="2"/>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-424.66</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89.47</w:t>
            </w: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2101505</w:t>
            </w:r>
          </w:p>
        </w:tc>
        <w:tc>
          <w:tcPr>
            <w:tcW w:w="1980" w:type="dxa"/>
            <w:tcBorders>
              <w:top w:val="nil"/>
              <w:left w:val="nil"/>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医疗保障政策管理</w:t>
            </w:r>
          </w:p>
        </w:tc>
        <w:tc>
          <w:tcPr>
            <w:tcW w:w="1779" w:type="dxa"/>
            <w:tcBorders>
              <w:top w:val="nil"/>
              <w:left w:val="nil"/>
              <w:bottom w:val="single" w:color="auto" w:sz="4" w:space="0"/>
              <w:right w:val="single" w:color="auto" w:sz="4" w:space="0"/>
            </w:tcBorders>
            <w:vAlign w:val="center"/>
          </w:tcPr>
          <w:p>
            <w:pPr>
              <w:jc w:val="right"/>
              <w:rPr>
                <w:rFonts w:ascii="新宋体" w:hAnsi="新宋体" w:eastAsia="新宋体" w:cs="Arial"/>
                <w:color w:val="000000"/>
                <w:sz w:val="22"/>
                <w:szCs w:val="22"/>
              </w:rPr>
            </w:pPr>
            <w:r>
              <w:rPr>
                <w:rFonts w:hint="eastAsia" w:ascii="新宋体" w:hAnsi="新宋体" w:eastAsia="新宋体" w:cs="Arial"/>
                <w:color w:val="000000"/>
                <w:sz w:val="22"/>
                <w:szCs w:val="22"/>
              </w:rPr>
              <w:t>0.21</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9</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9</w:t>
            </w:r>
          </w:p>
        </w:tc>
        <w:tc>
          <w:tcPr>
            <w:tcW w:w="1260" w:type="dxa"/>
            <w:gridSpan w:val="2"/>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8.79</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4185.71</w:t>
            </w: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2101506</w:t>
            </w:r>
          </w:p>
        </w:tc>
        <w:tc>
          <w:tcPr>
            <w:tcW w:w="1980" w:type="dxa"/>
            <w:tcBorders>
              <w:top w:val="nil"/>
              <w:left w:val="nil"/>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医疗保障经办事务</w:t>
            </w:r>
          </w:p>
        </w:tc>
        <w:tc>
          <w:tcPr>
            <w:tcW w:w="1779" w:type="dxa"/>
            <w:tcBorders>
              <w:top w:val="nil"/>
              <w:left w:val="nil"/>
              <w:bottom w:val="single" w:color="auto" w:sz="4" w:space="0"/>
              <w:right w:val="single" w:color="auto" w:sz="4" w:space="0"/>
            </w:tcBorders>
            <w:vAlign w:val="center"/>
          </w:tcPr>
          <w:p>
            <w:pPr>
              <w:jc w:val="right"/>
              <w:rPr>
                <w:rFonts w:ascii="新宋体" w:hAnsi="新宋体" w:eastAsia="新宋体" w:cs="Arial"/>
                <w:color w:val="000000"/>
                <w:sz w:val="22"/>
                <w:szCs w:val="22"/>
              </w:rPr>
            </w:pPr>
            <w:r>
              <w:rPr>
                <w:rFonts w:hint="eastAsia" w:ascii="新宋体" w:hAnsi="新宋体" w:eastAsia="新宋体" w:cs="Arial"/>
                <w:color w:val="000000"/>
                <w:sz w:val="22"/>
                <w:szCs w:val="22"/>
              </w:rPr>
              <w:t>10.62</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20</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20</w:t>
            </w:r>
          </w:p>
        </w:tc>
        <w:tc>
          <w:tcPr>
            <w:tcW w:w="1260" w:type="dxa"/>
            <w:gridSpan w:val="2"/>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9.38</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88.32</w:t>
            </w: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2101550</w:t>
            </w:r>
          </w:p>
        </w:tc>
        <w:tc>
          <w:tcPr>
            <w:tcW w:w="1980" w:type="dxa"/>
            <w:tcBorders>
              <w:top w:val="nil"/>
              <w:left w:val="nil"/>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事业运行</w:t>
            </w:r>
          </w:p>
        </w:tc>
        <w:tc>
          <w:tcPr>
            <w:tcW w:w="1779" w:type="dxa"/>
            <w:tcBorders>
              <w:top w:val="nil"/>
              <w:left w:val="nil"/>
              <w:bottom w:val="single" w:color="auto" w:sz="4" w:space="0"/>
              <w:right w:val="single" w:color="auto" w:sz="4" w:space="0"/>
            </w:tcBorders>
            <w:vAlign w:val="center"/>
          </w:tcPr>
          <w:p>
            <w:pPr>
              <w:jc w:val="right"/>
              <w:rPr>
                <w:rFonts w:ascii="新宋体" w:hAnsi="新宋体" w:eastAsia="新宋体" w:cs="Arial"/>
                <w:color w:val="000000"/>
                <w:sz w:val="22"/>
                <w:szCs w:val="22"/>
              </w:rPr>
            </w:pPr>
            <w:r>
              <w:rPr>
                <w:rFonts w:hint="eastAsia" w:ascii="新宋体" w:hAnsi="新宋体" w:eastAsia="新宋体" w:cs="Arial"/>
                <w:color w:val="000000"/>
                <w:sz w:val="22"/>
                <w:szCs w:val="22"/>
              </w:rPr>
              <w:t>176.62</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193.17</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193.17</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260" w:type="dxa"/>
            <w:gridSpan w:val="2"/>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16.55</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9.4</w:t>
            </w: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2101599</w:t>
            </w:r>
          </w:p>
        </w:tc>
        <w:tc>
          <w:tcPr>
            <w:tcW w:w="1980" w:type="dxa"/>
            <w:tcBorders>
              <w:top w:val="nil"/>
              <w:left w:val="nil"/>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其他医疗保障管理事务支出</w:t>
            </w:r>
          </w:p>
        </w:tc>
        <w:tc>
          <w:tcPr>
            <w:tcW w:w="1779" w:type="dxa"/>
            <w:tcBorders>
              <w:top w:val="nil"/>
              <w:left w:val="nil"/>
              <w:bottom w:val="single" w:color="auto" w:sz="4" w:space="0"/>
              <w:right w:val="single" w:color="auto" w:sz="4" w:space="0"/>
            </w:tcBorders>
            <w:vAlign w:val="center"/>
          </w:tcPr>
          <w:p>
            <w:pPr>
              <w:jc w:val="right"/>
              <w:rPr>
                <w:rFonts w:ascii="新宋体" w:hAnsi="新宋体" w:eastAsia="新宋体" w:cs="Arial"/>
                <w:color w:val="000000"/>
                <w:sz w:val="22"/>
                <w:szCs w:val="22"/>
              </w:rPr>
            </w:pPr>
            <w:r>
              <w:rPr>
                <w:rFonts w:hint="eastAsia" w:ascii="新宋体" w:hAnsi="新宋体" w:eastAsia="新宋体" w:cs="Arial"/>
                <w:color w:val="000000"/>
                <w:sz w:val="22"/>
                <w:szCs w:val="22"/>
              </w:rPr>
              <w:t>10.21</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26</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26</w:t>
            </w:r>
          </w:p>
        </w:tc>
        <w:tc>
          <w:tcPr>
            <w:tcW w:w="1260" w:type="dxa"/>
            <w:gridSpan w:val="2"/>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15.79</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154.65</w:t>
            </w: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2210201</w:t>
            </w:r>
          </w:p>
        </w:tc>
        <w:tc>
          <w:tcPr>
            <w:tcW w:w="1980" w:type="dxa"/>
            <w:tcBorders>
              <w:top w:val="nil"/>
              <w:left w:val="nil"/>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住房公积金</w:t>
            </w:r>
          </w:p>
        </w:tc>
        <w:tc>
          <w:tcPr>
            <w:tcW w:w="1779" w:type="dxa"/>
            <w:tcBorders>
              <w:top w:val="nil"/>
              <w:left w:val="nil"/>
              <w:bottom w:val="single" w:color="auto" w:sz="4" w:space="0"/>
              <w:right w:val="single" w:color="auto" w:sz="4" w:space="0"/>
            </w:tcBorders>
            <w:vAlign w:val="center"/>
          </w:tcPr>
          <w:p>
            <w:pPr>
              <w:jc w:val="right"/>
              <w:rPr>
                <w:rFonts w:ascii="新宋体" w:hAnsi="新宋体" w:eastAsia="新宋体" w:cs="Arial"/>
                <w:color w:val="000000"/>
                <w:sz w:val="22"/>
                <w:szCs w:val="22"/>
              </w:rPr>
            </w:pPr>
            <w:r>
              <w:rPr>
                <w:rFonts w:hint="eastAsia" w:ascii="新宋体" w:hAnsi="新宋体" w:eastAsia="新宋体" w:cs="Arial"/>
                <w:color w:val="000000"/>
                <w:sz w:val="22"/>
                <w:szCs w:val="22"/>
              </w:rPr>
              <w:t>17.87</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19.91</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19.91</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260" w:type="dxa"/>
            <w:gridSpan w:val="2"/>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2.04</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17.87</w:t>
            </w: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2210203</w:t>
            </w:r>
          </w:p>
        </w:tc>
        <w:tc>
          <w:tcPr>
            <w:tcW w:w="1980" w:type="dxa"/>
            <w:tcBorders>
              <w:top w:val="nil"/>
              <w:left w:val="nil"/>
              <w:bottom w:val="single" w:color="auto" w:sz="4" w:space="0"/>
              <w:right w:val="single" w:color="auto" w:sz="4" w:space="0"/>
            </w:tcBorders>
            <w:vAlign w:val="center"/>
          </w:tcPr>
          <w:p>
            <w:pPr>
              <w:rPr>
                <w:rFonts w:cs="Arial"/>
                <w:color w:val="000000"/>
                <w:sz w:val="18"/>
                <w:szCs w:val="18"/>
              </w:rPr>
            </w:pPr>
            <w:r>
              <w:rPr>
                <w:rFonts w:hint="eastAsia" w:cs="Arial"/>
                <w:color w:val="000000"/>
                <w:sz w:val="18"/>
                <w:szCs w:val="18"/>
              </w:rPr>
              <w:t>　　　　购房补贴</w:t>
            </w:r>
          </w:p>
        </w:tc>
        <w:tc>
          <w:tcPr>
            <w:tcW w:w="1779" w:type="dxa"/>
            <w:tcBorders>
              <w:top w:val="nil"/>
              <w:left w:val="nil"/>
              <w:bottom w:val="single" w:color="auto" w:sz="4" w:space="0"/>
              <w:right w:val="single" w:color="auto" w:sz="4" w:space="0"/>
            </w:tcBorders>
            <w:vAlign w:val="center"/>
          </w:tcPr>
          <w:p>
            <w:pPr>
              <w:jc w:val="right"/>
              <w:rPr>
                <w:rFonts w:ascii="新宋体" w:hAnsi="新宋体" w:eastAsia="新宋体" w:cs="Arial"/>
                <w:color w:val="000000"/>
                <w:sz w:val="22"/>
                <w:szCs w:val="22"/>
              </w:rPr>
            </w:pPr>
            <w:r>
              <w:rPr>
                <w:rFonts w:hint="eastAsia" w:ascii="新宋体" w:hAnsi="新宋体" w:eastAsia="新宋体" w:cs="Arial"/>
                <w:color w:val="000000"/>
                <w:sz w:val="22"/>
                <w:szCs w:val="22"/>
              </w:rPr>
              <w:t>10.62</w:t>
            </w:r>
          </w:p>
        </w:tc>
        <w:tc>
          <w:tcPr>
            <w:tcW w:w="162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15.08</w:t>
            </w:r>
          </w:p>
        </w:tc>
        <w:tc>
          <w:tcPr>
            <w:tcW w:w="180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15.08</w:t>
            </w:r>
          </w:p>
        </w:tc>
        <w:tc>
          <w:tcPr>
            <w:tcW w:w="1980" w:type="dxa"/>
            <w:tcBorders>
              <w:top w:val="nil"/>
              <w:left w:val="nil"/>
              <w:bottom w:val="single" w:color="auto" w:sz="4" w:space="0"/>
              <w:right w:val="single" w:color="auto" w:sz="4" w:space="0"/>
            </w:tcBorders>
            <w:vAlign w:val="center"/>
          </w:tcPr>
          <w:p>
            <w:pPr>
              <w:jc w:val="right"/>
              <w:rPr>
                <w:rFonts w:cs="Arial"/>
                <w:color w:val="000000"/>
                <w:sz w:val="21"/>
                <w:szCs w:val="18"/>
              </w:rPr>
            </w:pPr>
            <w:r>
              <w:rPr>
                <w:rFonts w:hint="eastAsia" w:cs="Arial"/>
                <w:color w:val="000000"/>
                <w:sz w:val="21"/>
                <w:szCs w:val="18"/>
              </w:rPr>
              <w:t>　</w:t>
            </w:r>
          </w:p>
        </w:tc>
        <w:tc>
          <w:tcPr>
            <w:tcW w:w="1260" w:type="dxa"/>
            <w:gridSpan w:val="2"/>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4.46</w:t>
            </w:r>
          </w:p>
        </w:tc>
        <w:tc>
          <w:tcPr>
            <w:tcW w:w="1454" w:type="dxa"/>
            <w:tcBorders>
              <w:top w:val="single" w:color="auto" w:sz="4" w:space="0"/>
              <w:bottom w:val="single" w:color="auto" w:sz="4" w:space="0"/>
              <w:right w:val="single" w:color="auto" w:sz="4" w:space="0"/>
            </w:tcBorders>
          </w:tcPr>
          <w:p>
            <w:pPr>
              <w:widowControl/>
              <w:jc w:val="left"/>
              <w:rPr>
                <w:sz w:val="20"/>
                <w:szCs w:val="20"/>
              </w:rPr>
            </w:pPr>
            <w:r>
              <w:rPr>
                <w:rFonts w:hint="eastAsia"/>
                <w:sz w:val="20"/>
                <w:szCs w:val="20"/>
              </w:rPr>
              <w:t>42</w:t>
            </w:r>
          </w:p>
        </w:tc>
      </w:tr>
    </w:tbl>
    <w:p>
      <w:pPr>
        <w:widowControl/>
        <w:spacing w:line="560" w:lineRule="exact"/>
        <w:ind w:firstLine="672" w:firstLineChars="200"/>
        <w:outlineLvl w:val="1"/>
        <w:rPr>
          <w:rFonts w:ascii="黑体" w:eastAsia="黑体"/>
          <w:bCs/>
          <w:sz w:val="32"/>
          <w:szCs w:val="32"/>
        </w:rPr>
      </w:pPr>
    </w:p>
    <w:p>
      <w:pPr>
        <w:widowControl/>
        <w:spacing w:line="560" w:lineRule="exact"/>
        <w:ind w:firstLine="672" w:firstLineChars="200"/>
        <w:outlineLvl w:val="1"/>
        <w:rPr>
          <w:rFonts w:ascii="黑体" w:eastAsia="黑体"/>
          <w:bCs/>
          <w:sz w:val="32"/>
          <w:szCs w:val="32"/>
        </w:rPr>
      </w:pPr>
    </w:p>
    <w:p>
      <w:pPr>
        <w:widowControl/>
        <w:spacing w:line="560" w:lineRule="exact"/>
        <w:ind w:firstLine="672" w:firstLineChars="200"/>
        <w:outlineLvl w:val="1"/>
        <w:rPr>
          <w:rFonts w:ascii="黑体" w:eastAsia="黑体"/>
          <w:bCs/>
          <w:sz w:val="32"/>
          <w:szCs w:val="32"/>
        </w:rPr>
      </w:pPr>
    </w:p>
    <w:p>
      <w:pPr>
        <w:widowControl/>
        <w:spacing w:line="560" w:lineRule="exact"/>
        <w:ind w:firstLine="672" w:firstLineChars="200"/>
        <w:outlineLvl w:val="1"/>
        <w:rPr>
          <w:rFonts w:ascii="黑体" w:eastAsia="黑体"/>
          <w:bCs/>
          <w:sz w:val="32"/>
          <w:szCs w:val="32"/>
        </w:rPr>
      </w:pPr>
    </w:p>
    <w:p>
      <w:pPr>
        <w:widowControl/>
        <w:spacing w:line="560" w:lineRule="exact"/>
        <w:ind w:firstLine="672" w:firstLineChars="200"/>
        <w:outlineLvl w:val="1"/>
        <w:rPr>
          <w:rFonts w:ascii="黑体" w:eastAsia="黑体"/>
          <w:bCs/>
          <w:sz w:val="32"/>
          <w:szCs w:val="32"/>
        </w:rPr>
      </w:pPr>
    </w:p>
    <w:p>
      <w:pPr>
        <w:widowControl/>
        <w:spacing w:line="560" w:lineRule="exact"/>
        <w:ind w:firstLine="672" w:firstLineChars="200"/>
        <w:outlineLvl w:val="1"/>
        <w:rPr>
          <w:rFonts w:ascii="黑体" w:eastAsia="黑体"/>
          <w:bCs/>
          <w:sz w:val="32"/>
          <w:szCs w:val="32"/>
        </w:rPr>
      </w:pPr>
    </w:p>
    <w:p>
      <w:pPr>
        <w:widowControl/>
        <w:spacing w:line="560" w:lineRule="exact"/>
        <w:ind w:firstLine="672" w:firstLineChars="200"/>
        <w:outlineLvl w:val="1"/>
        <w:rPr>
          <w:rFonts w:ascii="黑体" w:eastAsia="黑体"/>
          <w:b/>
          <w:sz w:val="32"/>
          <w:szCs w:val="32"/>
        </w:rPr>
      </w:pPr>
      <w:r>
        <w:rPr>
          <w:rFonts w:hint="eastAsia" w:ascii="黑体" w:eastAsia="黑体"/>
          <w:bCs/>
          <w:sz w:val="32"/>
          <w:szCs w:val="32"/>
        </w:rPr>
        <w:t>三、一般公共预算财政拨款基本支出表</w:t>
      </w:r>
    </w:p>
    <w:p>
      <w:pPr>
        <w:widowControl/>
        <w:spacing w:line="240" w:lineRule="exact"/>
        <w:ind w:firstLine="912" w:firstLineChars="200"/>
        <w:jc w:val="center"/>
        <w:outlineLvl w:val="1"/>
        <w:rPr>
          <w:rFonts w:ascii="方正小标宋简体" w:hAnsi="方正小标宋简体" w:eastAsia="方正小标宋简体" w:cs="方正小标宋简体"/>
          <w:bCs/>
          <w:sz w:val="44"/>
          <w:szCs w:val="44"/>
        </w:rPr>
      </w:pPr>
    </w:p>
    <w:p>
      <w:pPr>
        <w:widowControl/>
        <w:spacing w:line="520" w:lineRule="exact"/>
        <w:ind w:firstLine="752" w:firstLineChars="200"/>
        <w:jc w:val="center"/>
        <w:outlineLvl w:val="1"/>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一般公共预算财政拨款基本支出表</w:t>
      </w:r>
    </w:p>
    <w:p>
      <w:pPr>
        <w:widowControl/>
        <w:spacing w:line="520" w:lineRule="exact"/>
        <w:ind w:firstLine="735"/>
        <w:jc w:val="left"/>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0"/>
          <w:szCs w:val="30"/>
        </w:rPr>
        <w:t>单位：万元</w:t>
      </w:r>
    </w:p>
    <w:tbl>
      <w:tblPr>
        <w:tblStyle w:val="5"/>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b/>
                <w:bCs/>
                <w:sz w:val="22"/>
                <w:szCs w:val="22"/>
              </w:rPr>
            </w:pPr>
            <w:r>
              <w:rPr>
                <w:rFonts w:hint="eastAsia"/>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b/>
                <w:bCs/>
                <w:sz w:val="22"/>
                <w:szCs w:val="22"/>
              </w:rPr>
            </w:pPr>
            <w:r>
              <w:rPr>
                <w:rFonts w:hint="eastAsia"/>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b/>
                <w:bCs/>
                <w:sz w:val="22"/>
                <w:szCs w:val="22"/>
              </w:rPr>
            </w:pPr>
            <w:r>
              <w:rPr>
                <w:rFonts w:hint="eastAsia"/>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b/>
                <w:bCs/>
                <w:sz w:val="22"/>
                <w:szCs w:val="22"/>
              </w:rPr>
            </w:pPr>
            <w:r>
              <w:rPr>
                <w:rFonts w:hint="eastAsia"/>
                <w:b/>
                <w:bCs/>
                <w:sz w:val="22"/>
                <w:szCs w:val="22"/>
              </w:rPr>
              <w:t>合计</w:t>
            </w:r>
          </w:p>
        </w:tc>
        <w:tc>
          <w:tcPr>
            <w:tcW w:w="2700" w:type="dxa"/>
            <w:tcBorders>
              <w:top w:val="nil"/>
              <w:left w:val="nil"/>
              <w:bottom w:val="single" w:color="auto" w:sz="4" w:space="0"/>
              <w:right w:val="single" w:color="auto" w:sz="4" w:space="0"/>
            </w:tcBorders>
            <w:vAlign w:val="center"/>
          </w:tcPr>
          <w:p>
            <w:pPr>
              <w:jc w:val="center"/>
              <w:rPr>
                <w:b/>
                <w:bCs/>
                <w:sz w:val="22"/>
                <w:szCs w:val="22"/>
              </w:rPr>
            </w:pPr>
            <w:r>
              <w:rPr>
                <w:rFonts w:hint="eastAsia"/>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b/>
                <w:bCs/>
                <w:sz w:val="22"/>
                <w:szCs w:val="22"/>
              </w:rPr>
            </w:pPr>
            <w:r>
              <w:rPr>
                <w:rFonts w:hint="eastAsia"/>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b/>
                <w:bCs/>
                <w:sz w:val="22"/>
                <w:szCs w:val="22"/>
              </w:rPr>
            </w:pPr>
            <w:r>
              <w:rPr>
                <w:rFonts w:hint="eastAsia"/>
                <w:b/>
                <w:bCs/>
                <w:sz w:val="22"/>
                <w:szCs w:val="22"/>
              </w:rPr>
              <w:t>总计</w:t>
            </w:r>
          </w:p>
        </w:tc>
        <w:tc>
          <w:tcPr>
            <w:tcW w:w="2520" w:type="dxa"/>
            <w:tcBorders>
              <w:top w:val="nil"/>
              <w:left w:val="nil"/>
              <w:bottom w:val="single" w:color="auto" w:sz="4" w:space="0"/>
              <w:right w:val="single" w:color="auto" w:sz="4" w:space="0"/>
            </w:tcBorders>
            <w:vAlign w:val="center"/>
          </w:tcPr>
          <w:p>
            <w:pPr>
              <w:pStyle w:val="2"/>
            </w:pPr>
            <w:r>
              <w:rPr>
                <w:rFonts w:hint="eastAsia"/>
                <w:sz w:val="22"/>
                <w:szCs w:val="22"/>
              </w:rPr>
              <w:t>280.85</w:t>
            </w:r>
          </w:p>
        </w:tc>
        <w:tc>
          <w:tcPr>
            <w:tcW w:w="2700" w:type="dxa"/>
            <w:tcBorders>
              <w:top w:val="nil"/>
              <w:left w:val="nil"/>
              <w:bottom w:val="single" w:color="auto" w:sz="4" w:space="0"/>
              <w:right w:val="single" w:color="auto" w:sz="4" w:space="0"/>
            </w:tcBorders>
            <w:vAlign w:val="center"/>
          </w:tcPr>
          <w:p>
            <w:pPr>
              <w:jc w:val="right"/>
              <w:rPr>
                <w:sz w:val="22"/>
                <w:szCs w:val="22"/>
              </w:rPr>
            </w:pPr>
            <w:r>
              <w:rPr>
                <w:rFonts w:hint="eastAsia"/>
                <w:sz w:val="22"/>
                <w:szCs w:val="22"/>
              </w:rPr>
              <w:t>273.08</w:t>
            </w:r>
          </w:p>
        </w:tc>
        <w:tc>
          <w:tcPr>
            <w:tcW w:w="2340" w:type="dxa"/>
            <w:tcBorders>
              <w:top w:val="nil"/>
              <w:left w:val="nil"/>
              <w:bottom w:val="single" w:color="auto" w:sz="4" w:space="0"/>
              <w:right w:val="single" w:color="auto" w:sz="4" w:space="0"/>
            </w:tcBorders>
            <w:vAlign w:val="center"/>
          </w:tcPr>
          <w:p>
            <w:pPr>
              <w:jc w:val="right"/>
              <w:rPr>
                <w:sz w:val="22"/>
                <w:szCs w:val="22"/>
              </w:rPr>
            </w:pPr>
            <w:r>
              <w:rPr>
                <w:rFonts w:hint="eastAsia"/>
                <w:sz w:val="22"/>
                <w:szCs w:val="22"/>
              </w:rPr>
              <w:t>7.76</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b/>
                <w:bCs/>
                <w:sz w:val="22"/>
                <w:szCs w:val="22"/>
              </w:rPr>
            </w:pPr>
            <w:r>
              <w:rPr>
                <w:rFonts w:hint="eastAsia"/>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270.77</w:t>
            </w: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270.77</w:t>
            </w: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基本工资</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78.03</w:t>
            </w: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78.03</w:t>
            </w: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津贴补贴</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49.86</w:t>
            </w: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49.86</w:t>
            </w: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奖金</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43.8</w:t>
            </w: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43.8</w:t>
            </w: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伙食补助费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绩效工资</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31.41</w:t>
            </w: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31.41</w:t>
            </w: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30108</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机关事业单位基本养老保险缴费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22.83</w:t>
            </w:r>
          </w:p>
        </w:tc>
        <w:tc>
          <w:tcPr>
            <w:tcW w:w="270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22.83</w:t>
            </w:r>
          </w:p>
        </w:tc>
        <w:tc>
          <w:tcPr>
            <w:tcW w:w="2340" w:type="dxa"/>
            <w:tcBorders>
              <w:top w:val="single" w:color="auto" w:sz="4" w:space="0"/>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30109</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职业年金缴费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11.41</w:t>
            </w:r>
          </w:p>
        </w:tc>
        <w:tc>
          <w:tcPr>
            <w:tcW w:w="270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11.41</w:t>
            </w:r>
          </w:p>
        </w:tc>
        <w:tc>
          <w:tcPr>
            <w:tcW w:w="2340" w:type="dxa"/>
            <w:tcBorders>
              <w:top w:val="single" w:color="auto" w:sz="4" w:space="0"/>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30110</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职工基本医疗保险缴费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9.96</w:t>
            </w:r>
          </w:p>
        </w:tc>
        <w:tc>
          <w:tcPr>
            <w:tcW w:w="270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9.96</w:t>
            </w:r>
          </w:p>
        </w:tc>
        <w:tc>
          <w:tcPr>
            <w:tcW w:w="2340" w:type="dxa"/>
            <w:tcBorders>
              <w:top w:val="single" w:color="auto" w:sz="4" w:space="0"/>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30111</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公务员医疗补助缴费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2.83</w:t>
            </w:r>
          </w:p>
        </w:tc>
        <w:tc>
          <w:tcPr>
            <w:tcW w:w="270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2.83</w:t>
            </w:r>
          </w:p>
        </w:tc>
        <w:tc>
          <w:tcPr>
            <w:tcW w:w="2340" w:type="dxa"/>
            <w:tcBorders>
              <w:top w:val="single" w:color="auto" w:sz="4" w:space="0"/>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其他社会保障缴费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0.75</w:t>
            </w: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0.75</w:t>
            </w: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住房公积金</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19.91</w:t>
            </w: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19.91</w:t>
            </w: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医疗费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jc w:val="right"/>
              <w:rPr>
                <w:sz w:val="22"/>
                <w:szCs w:val="22"/>
              </w:rPr>
            </w:pP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其他工资福利支出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jc w:val="right"/>
              <w:rPr>
                <w:sz w:val="22"/>
                <w:szCs w:val="22"/>
              </w:rPr>
            </w:pP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b/>
                <w:bCs/>
                <w:sz w:val="22"/>
                <w:szCs w:val="22"/>
              </w:rPr>
            </w:pPr>
            <w:r>
              <w:rPr>
                <w:rFonts w:hint="eastAsia"/>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7.76</w:t>
            </w: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7.76</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办公费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1.2</w:t>
            </w: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1.2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印刷费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咨询费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手续费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30205</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水费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0.12</w:t>
            </w:r>
          </w:p>
        </w:tc>
        <w:tc>
          <w:tcPr>
            <w:tcW w:w="2700" w:type="dxa"/>
            <w:tcBorders>
              <w:top w:val="single" w:color="auto" w:sz="4" w:space="0"/>
              <w:left w:val="nil"/>
              <w:bottom w:val="single" w:color="auto" w:sz="4" w:space="0"/>
              <w:right w:val="single" w:color="auto" w:sz="4" w:space="0"/>
            </w:tcBorders>
            <w:vAlign w:val="center"/>
          </w:tcPr>
          <w:p>
            <w:pPr>
              <w:rPr>
                <w:sz w:val="22"/>
                <w:szCs w:val="22"/>
              </w:rPr>
            </w:pPr>
          </w:p>
        </w:tc>
        <w:tc>
          <w:tcPr>
            <w:tcW w:w="234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0.12</w:t>
            </w: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30206</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电费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single" w:color="auto" w:sz="4" w:space="0"/>
              <w:left w:val="nil"/>
              <w:bottom w:val="single" w:color="auto" w:sz="4" w:space="0"/>
              <w:right w:val="single" w:color="auto" w:sz="4" w:space="0"/>
            </w:tcBorders>
            <w:vAlign w:val="center"/>
          </w:tcPr>
          <w:p>
            <w:pPr>
              <w:rPr>
                <w:sz w:val="22"/>
                <w:szCs w:val="22"/>
              </w:rPr>
            </w:pPr>
          </w:p>
        </w:tc>
        <w:tc>
          <w:tcPr>
            <w:tcW w:w="234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30207</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邮电费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0.5</w:t>
            </w:r>
          </w:p>
        </w:tc>
        <w:tc>
          <w:tcPr>
            <w:tcW w:w="2700" w:type="dxa"/>
            <w:tcBorders>
              <w:top w:val="single" w:color="auto" w:sz="4" w:space="0"/>
              <w:left w:val="nil"/>
              <w:bottom w:val="single" w:color="auto" w:sz="4" w:space="0"/>
              <w:right w:val="single" w:color="auto" w:sz="4" w:space="0"/>
            </w:tcBorders>
            <w:vAlign w:val="center"/>
          </w:tcPr>
          <w:p>
            <w:pPr>
              <w:rPr>
                <w:sz w:val="22"/>
                <w:szCs w:val="22"/>
              </w:rPr>
            </w:pPr>
          </w:p>
        </w:tc>
        <w:tc>
          <w:tcPr>
            <w:tcW w:w="234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取暖费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30209</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物业管理费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single" w:color="auto" w:sz="4" w:space="0"/>
              <w:left w:val="nil"/>
              <w:bottom w:val="single" w:color="auto" w:sz="4" w:space="0"/>
              <w:right w:val="single" w:color="auto" w:sz="4" w:space="0"/>
            </w:tcBorders>
            <w:vAlign w:val="center"/>
          </w:tcPr>
          <w:p>
            <w:pPr>
              <w:rPr>
                <w:sz w:val="22"/>
                <w:szCs w:val="22"/>
              </w:rPr>
            </w:pPr>
          </w:p>
        </w:tc>
        <w:tc>
          <w:tcPr>
            <w:tcW w:w="234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差旅费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3</w:t>
            </w: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因公出国（境）费用</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　</w:t>
            </w:r>
          </w:p>
        </w:tc>
        <w:tc>
          <w:tcPr>
            <w:tcW w:w="2700" w:type="dxa"/>
            <w:tcBorders>
              <w:top w:val="nil"/>
              <w:left w:val="nil"/>
              <w:bottom w:val="single" w:color="auto" w:sz="4" w:space="0"/>
              <w:right w:val="single" w:color="auto" w:sz="4" w:space="0"/>
            </w:tcBorders>
            <w:vAlign w:val="center"/>
          </w:tcPr>
          <w:p>
            <w:pPr>
              <w:rPr>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　</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维修（护）费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租赁费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会议费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培训费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公务接待费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专用材料费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611"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30224</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被装购置费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single" w:color="auto" w:sz="4" w:space="0"/>
              <w:left w:val="nil"/>
              <w:bottom w:val="single" w:color="auto" w:sz="4" w:space="0"/>
              <w:right w:val="single" w:color="auto" w:sz="4" w:space="0"/>
            </w:tcBorders>
            <w:vAlign w:val="center"/>
          </w:tcPr>
          <w:p>
            <w:pPr>
              <w:rPr>
                <w:sz w:val="22"/>
                <w:szCs w:val="22"/>
              </w:rPr>
            </w:pPr>
          </w:p>
        </w:tc>
        <w:tc>
          <w:tcPr>
            <w:tcW w:w="234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30225</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专用燃料费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single" w:color="auto" w:sz="4" w:space="0"/>
              <w:left w:val="nil"/>
              <w:bottom w:val="single" w:color="auto" w:sz="4" w:space="0"/>
              <w:right w:val="single" w:color="auto" w:sz="4" w:space="0"/>
            </w:tcBorders>
            <w:vAlign w:val="center"/>
          </w:tcPr>
          <w:p>
            <w:pPr>
              <w:rPr>
                <w:sz w:val="22"/>
                <w:szCs w:val="22"/>
              </w:rPr>
            </w:pPr>
          </w:p>
        </w:tc>
        <w:tc>
          <w:tcPr>
            <w:tcW w:w="234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劳务费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0.4</w:t>
            </w: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0.4</w:t>
            </w: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30227</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委托业务费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single" w:color="auto" w:sz="4" w:space="0"/>
              <w:left w:val="nil"/>
              <w:bottom w:val="single" w:color="auto" w:sz="4" w:space="0"/>
              <w:right w:val="single" w:color="auto" w:sz="4" w:space="0"/>
            </w:tcBorders>
            <w:vAlign w:val="center"/>
          </w:tcPr>
          <w:p>
            <w:pPr>
              <w:rPr>
                <w:sz w:val="22"/>
                <w:szCs w:val="22"/>
              </w:rPr>
            </w:pPr>
          </w:p>
        </w:tc>
        <w:tc>
          <w:tcPr>
            <w:tcW w:w="234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30228</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工会经费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2.26</w:t>
            </w:r>
          </w:p>
        </w:tc>
        <w:tc>
          <w:tcPr>
            <w:tcW w:w="2700" w:type="dxa"/>
            <w:tcBorders>
              <w:top w:val="single" w:color="auto" w:sz="4" w:space="0"/>
              <w:left w:val="nil"/>
              <w:bottom w:val="single" w:color="auto" w:sz="4" w:space="0"/>
              <w:right w:val="single" w:color="auto" w:sz="4" w:space="0"/>
            </w:tcBorders>
            <w:vAlign w:val="center"/>
          </w:tcPr>
          <w:p>
            <w:pPr>
              <w:rPr>
                <w:sz w:val="22"/>
                <w:szCs w:val="22"/>
              </w:rPr>
            </w:pPr>
          </w:p>
        </w:tc>
        <w:tc>
          <w:tcPr>
            <w:tcW w:w="234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2.26</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福利费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公务用车运行维护费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其他交通费用</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0.28</w:t>
            </w: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0.28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税金及附加费用</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其他商品和服务支出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b/>
                <w:bCs/>
                <w:sz w:val="22"/>
                <w:szCs w:val="22"/>
              </w:rPr>
            </w:pPr>
            <w:r>
              <w:rPr>
                <w:rFonts w:hint="eastAsia"/>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2.31</w:t>
            </w: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2.31</w:t>
            </w: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1.24</w:t>
            </w: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1.24</w:t>
            </w: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0.86</w:t>
            </w: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0.86</w:t>
            </w: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30303</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退职（役）费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340" w:type="dxa"/>
            <w:tcBorders>
              <w:top w:val="single" w:color="auto" w:sz="4" w:space="0"/>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30304</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抚恤金</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340" w:type="dxa"/>
            <w:tcBorders>
              <w:top w:val="single" w:color="auto" w:sz="4" w:space="0"/>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30305</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生活补助</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340" w:type="dxa"/>
            <w:tcBorders>
              <w:top w:val="single" w:color="auto" w:sz="4" w:space="0"/>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30306</w:t>
            </w:r>
          </w:p>
        </w:tc>
        <w:tc>
          <w:tcPr>
            <w:tcW w:w="3600" w:type="dxa"/>
            <w:tcBorders>
              <w:top w:val="single" w:color="auto" w:sz="4" w:space="0"/>
              <w:left w:val="nil"/>
              <w:bottom w:val="single" w:color="auto" w:sz="4" w:space="0"/>
              <w:right w:val="single" w:color="auto" w:sz="4" w:space="0"/>
            </w:tcBorders>
            <w:vAlign w:val="center"/>
          </w:tcPr>
          <w:p>
            <w:pPr>
              <w:spacing w:line="360" w:lineRule="exact"/>
              <w:rPr>
                <w:sz w:val="22"/>
                <w:szCs w:val="22"/>
              </w:rPr>
            </w:pPr>
            <w:r>
              <w:rPr>
                <w:rFonts w:hint="eastAsia"/>
                <w:sz w:val="22"/>
                <w:szCs w:val="22"/>
              </w:rPr>
              <w:t>救济费</w:t>
            </w:r>
          </w:p>
        </w:tc>
        <w:tc>
          <w:tcPr>
            <w:tcW w:w="252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single" w:color="auto" w:sz="4" w:space="0"/>
              <w:left w:val="nil"/>
              <w:bottom w:val="single" w:color="auto" w:sz="4" w:space="0"/>
              <w:right w:val="single" w:color="auto" w:sz="4" w:space="0"/>
            </w:tcBorders>
            <w:vAlign w:val="center"/>
          </w:tcPr>
          <w:p>
            <w:pPr>
              <w:spacing w:line="360" w:lineRule="exact"/>
              <w:jc w:val="center"/>
              <w:rPr>
                <w:sz w:val="22"/>
                <w:szCs w:val="22"/>
              </w:rPr>
            </w:pPr>
          </w:p>
        </w:tc>
        <w:tc>
          <w:tcPr>
            <w:tcW w:w="2340" w:type="dxa"/>
            <w:tcBorders>
              <w:top w:val="single" w:color="auto" w:sz="4" w:space="0"/>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0.21</w:t>
            </w:r>
          </w:p>
        </w:tc>
        <w:tc>
          <w:tcPr>
            <w:tcW w:w="270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0.21</w:t>
            </w: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b/>
                <w:bCs/>
                <w:sz w:val="22"/>
                <w:szCs w:val="22"/>
              </w:rPr>
            </w:pPr>
            <w:r>
              <w:rPr>
                <w:rFonts w:hint="eastAsia"/>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p>
        </w:tc>
        <w:tc>
          <w:tcPr>
            <w:tcW w:w="2700" w:type="dxa"/>
            <w:tcBorders>
              <w:top w:val="nil"/>
              <w:left w:val="nil"/>
              <w:bottom w:val="single" w:color="auto" w:sz="4" w:space="0"/>
              <w:right w:val="single" w:color="auto" w:sz="4" w:space="0"/>
            </w:tcBorders>
            <w:vAlign w:val="center"/>
          </w:tcPr>
          <w:p>
            <w:pPr>
              <w:rPr>
                <w:sz w:val="22"/>
                <w:szCs w:val="22"/>
              </w:rPr>
            </w:pPr>
          </w:p>
        </w:tc>
        <w:tc>
          <w:tcPr>
            <w:tcW w:w="2340" w:type="dxa"/>
            <w:tcBorders>
              <w:top w:val="nil"/>
              <w:left w:val="nil"/>
              <w:bottom w:val="single" w:color="auto" w:sz="4" w:space="0"/>
              <w:right w:val="single" w:color="auto" w:sz="4" w:space="0"/>
            </w:tcBorders>
            <w:vAlign w:val="center"/>
          </w:tcPr>
          <w:p>
            <w:pPr>
              <w:rPr>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sz w:val="22"/>
                <w:szCs w:val="22"/>
              </w:rPr>
            </w:pPr>
            <w:r>
              <w:rPr>
                <w:rFonts w:hint="eastAsia"/>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sz w:val="22"/>
                <w:szCs w:val="22"/>
              </w:rPr>
            </w:pPr>
            <w:r>
              <w:rPr>
                <w:rFonts w:hint="eastAsia"/>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sz w:val="22"/>
                <w:szCs w:val="22"/>
              </w:rPr>
            </w:pPr>
            <w:r>
              <w:rPr>
                <w:rFonts w:hint="eastAsia"/>
                <w:sz w:val="22"/>
                <w:szCs w:val="22"/>
              </w:rPr>
              <w:t>　</w:t>
            </w:r>
          </w:p>
        </w:tc>
        <w:tc>
          <w:tcPr>
            <w:tcW w:w="2700" w:type="dxa"/>
            <w:tcBorders>
              <w:top w:val="nil"/>
              <w:left w:val="nil"/>
              <w:bottom w:val="single" w:color="auto" w:sz="4" w:space="0"/>
              <w:right w:val="single" w:color="auto" w:sz="4" w:space="0"/>
            </w:tcBorders>
            <w:vAlign w:val="center"/>
          </w:tcPr>
          <w:p>
            <w:pPr>
              <w:rPr>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sz w:val="22"/>
                <w:szCs w:val="22"/>
              </w:rPr>
            </w:pPr>
            <w:r>
              <w:rPr>
                <w:rFonts w:hint="eastAsia"/>
                <w:sz w:val="22"/>
                <w:szCs w:val="22"/>
              </w:rPr>
              <w:t>　</w:t>
            </w:r>
          </w:p>
        </w:tc>
      </w:tr>
    </w:tbl>
    <w:p>
      <w:pPr>
        <w:widowControl/>
        <w:ind w:firstLine="672" w:firstLineChars="200"/>
        <w:outlineLvl w:val="1"/>
        <w:rPr>
          <w:rFonts w:ascii="黑体" w:eastAsia="黑体"/>
          <w:bCs/>
          <w:sz w:val="32"/>
          <w:szCs w:val="32"/>
        </w:rPr>
      </w:pPr>
    </w:p>
    <w:p>
      <w:pPr>
        <w:widowControl/>
        <w:ind w:firstLine="672" w:firstLineChars="200"/>
        <w:outlineLvl w:val="1"/>
        <w:rPr>
          <w:rFonts w:ascii="黑体" w:eastAsia="黑体"/>
          <w:bCs/>
          <w:sz w:val="32"/>
          <w:szCs w:val="32"/>
        </w:rPr>
      </w:pPr>
    </w:p>
    <w:p>
      <w:pPr>
        <w:widowControl/>
        <w:ind w:firstLine="672" w:firstLineChars="200"/>
        <w:outlineLvl w:val="1"/>
        <w:rPr>
          <w:rFonts w:ascii="黑体" w:eastAsia="黑体"/>
          <w:bCs/>
          <w:sz w:val="32"/>
          <w:szCs w:val="32"/>
        </w:rPr>
      </w:pPr>
    </w:p>
    <w:p>
      <w:pPr>
        <w:widowControl/>
        <w:ind w:firstLine="672" w:firstLineChars="200"/>
        <w:outlineLvl w:val="1"/>
        <w:rPr>
          <w:rFonts w:ascii="黑体" w:eastAsia="黑体"/>
          <w:bCs/>
          <w:sz w:val="32"/>
          <w:szCs w:val="32"/>
        </w:rPr>
      </w:pPr>
    </w:p>
    <w:p>
      <w:pPr>
        <w:widowControl/>
        <w:ind w:firstLine="672" w:firstLineChars="200"/>
        <w:outlineLvl w:val="1"/>
        <w:rPr>
          <w:rFonts w:ascii="黑体" w:eastAsia="黑体"/>
          <w:bCs/>
          <w:sz w:val="32"/>
          <w:szCs w:val="32"/>
        </w:rPr>
      </w:pPr>
    </w:p>
    <w:p>
      <w:pPr>
        <w:widowControl/>
        <w:ind w:firstLine="672" w:firstLineChars="200"/>
        <w:outlineLvl w:val="1"/>
        <w:rPr>
          <w:rFonts w:ascii="黑体" w:eastAsia="黑体"/>
          <w:bCs/>
          <w:sz w:val="32"/>
          <w:szCs w:val="32"/>
        </w:rPr>
      </w:pPr>
    </w:p>
    <w:p>
      <w:pPr>
        <w:widowControl/>
        <w:ind w:firstLine="672" w:firstLineChars="200"/>
        <w:outlineLvl w:val="1"/>
        <w:rPr>
          <w:rFonts w:ascii="黑体" w:eastAsia="黑体"/>
          <w:bCs/>
          <w:sz w:val="32"/>
          <w:szCs w:val="32"/>
        </w:rPr>
      </w:pPr>
      <w:r>
        <w:rPr>
          <w:rFonts w:hint="eastAsia" w:ascii="黑体" w:eastAsia="黑体"/>
          <w:bCs/>
          <w:sz w:val="32"/>
          <w:szCs w:val="32"/>
        </w:rPr>
        <w:t>四、一般公共预算财政拨款“三公”经费支出表</w:t>
      </w:r>
    </w:p>
    <w:p>
      <w:pPr>
        <w:widowControl/>
        <w:ind w:firstLine="912" w:firstLineChars="200"/>
        <w:jc w:val="center"/>
        <w:outlineLvl w:val="1"/>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一般公共预算财政拨款“三公”经费支出表</w:t>
      </w:r>
    </w:p>
    <w:p>
      <w:pPr>
        <w:rPr>
          <w:rFonts w:ascii="仿宋_GB2312" w:eastAsia="仿宋_GB2312"/>
          <w:sz w:val="32"/>
          <w:szCs w:val="32"/>
        </w:rPr>
      </w:pPr>
      <w:r>
        <w:rPr>
          <w:rFonts w:hint="eastAsia" w:ascii="仿宋_GB2312" w:eastAsia="仿宋_GB2312"/>
          <w:sz w:val="32"/>
          <w:szCs w:val="32"/>
        </w:rPr>
        <w:t xml:space="preserve">                                                                  单位：万元</w:t>
      </w:r>
    </w:p>
    <w:tbl>
      <w:tblPr>
        <w:tblStyle w:val="5"/>
        <w:tblW w:w="0" w:type="auto"/>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2023年预算数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2023年执行数（决算数）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2024年预算数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bCs/>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bCs/>
                <w:sz w:val="22"/>
                <w:szCs w:val="22"/>
              </w:rPr>
            </w:pPr>
          </w:p>
        </w:tc>
        <w:tc>
          <w:tcPr>
            <w:tcW w:w="771"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小计</w:t>
            </w:r>
          </w:p>
        </w:tc>
        <w:tc>
          <w:tcPr>
            <w:tcW w:w="771"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公务用车购置费</w:t>
            </w:r>
          </w:p>
        </w:tc>
        <w:tc>
          <w:tcPr>
            <w:tcW w:w="771"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bCs/>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bCs/>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bCs/>
                <w:sz w:val="22"/>
                <w:szCs w:val="22"/>
              </w:rPr>
            </w:pPr>
          </w:p>
        </w:tc>
        <w:tc>
          <w:tcPr>
            <w:tcW w:w="771"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小计</w:t>
            </w:r>
          </w:p>
        </w:tc>
        <w:tc>
          <w:tcPr>
            <w:tcW w:w="771"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公务用车购置费</w:t>
            </w:r>
          </w:p>
        </w:tc>
        <w:tc>
          <w:tcPr>
            <w:tcW w:w="771"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bCs/>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bCs/>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bCs/>
                <w:sz w:val="22"/>
                <w:szCs w:val="22"/>
              </w:rPr>
            </w:pPr>
          </w:p>
        </w:tc>
        <w:tc>
          <w:tcPr>
            <w:tcW w:w="771"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小计</w:t>
            </w:r>
          </w:p>
        </w:tc>
        <w:tc>
          <w:tcPr>
            <w:tcW w:w="771"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公务用车购置费</w:t>
            </w:r>
          </w:p>
        </w:tc>
        <w:tc>
          <w:tcPr>
            <w:tcW w:w="771" w:type="dxa"/>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b/>
                <w:bCs/>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c>
          <w:tcPr>
            <w:tcW w:w="771" w:type="dxa"/>
            <w:tcBorders>
              <w:top w:val="nil"/>
              <w:left w:val="nil"/>
              <w:bottom w:val="single" w:color="auto" w:sz="4" w:space="0"/>
              <w:right w:val="single" w:color="auto" w:sz="4" w:space="0"/>
            </w:tcBorders>
            <w:vAlign w:val="center"/>
          </w:tcPr>
          <w:p>
            <w:pPr>
              <w:widowControl/>
              <w:jc w:val="left"/>
            </w:pPr>
            <w:r>
              <w:rPr>
                <w:rFonts w:hint="eastAsia"/>
              </w:rPr>
              <w:t>　</w:t>
            </w:r>
          </w:p>
        </w:tc>
      </w:tr>
    </w:tbl>
    <w:p>
      <w:pPr>
        <w:widowControl/>
        <w:ind w:firstLine="672" w:firstLineChars="200"/>
        <w:outlineLvl w:val="1"/>
        <w:rPr>
          <w:rFonts w:ascii="黑体" w:eastAsia="黑体"/>
          <w:bCs/>
          <w:sz w:val="32"/>
          <w:szCs w:val="32"/>
        </w:rPr>
      </w:pPr>
      <w:r>
        <w:rPr>
          <w:rFonts w:hint="eastAsia" w:ascii="黑体" w:eastAsia="黑体"/>
          <w:bCs/>
          <w:sz w:val="32"/>
          <w:szCs w:val="32"/>
        </w:rPr>
        <w:t>五、政府性基金预算财政拨款支出表</w:t>
      </w:r>
    </w:p>
    <w:p>
      <w:pPr>
        <w:widowControl/>
        <w:spacing w:line="240" w:lineRule="exact"/>
        <w:jc w:val="center"/>
        <w:outlineLvl w:val="1"/>
        <w:rPr>
          <w:rFonts w:ascii="仿宋_GB2312" w:eastAsia="仿宋_GB2312"/>
          <w:b/>
          <w:sz w:val="36"/>
          <w:szCs w:val="36"/>
        </w:rPr>
      </w:pPr>
    </w:p>
    <w:p>
      <w:pPr>
        <w:widowControl/>
        <w:jc w:val="center"/>
        <w:outlineLvl w:val="1"/>
        <w:rPr>
          <w:rFonts w:ascii="仿宋_GB2312" w:eastAsia="仿宋_GB2312"/>
          <w:b/>
          <w:sz w:val="36"/>
          <w:szCs w:val="36"/>
        </w:rPr>
      </w:pPr>
      <w:r>
        <w:rPr>
          <w:rFonts w:hint="eastAsia" w:ascii="仿宋_GB2312" w:eastAsia="仿宋_GB2312"/>
          <w:b/>
          <w:sz w:val="36"/>
          <w:szCs w:val="36"/>
        </w:rPr>
        <w:t>政府性基金预算财政拨款支出表</w:t>
      </w:r>
    </w:p>
    <w:p>
      <w:pPr>
        <w:widowControl/>
        <w:ind w:firstLine="752" w:firstLineChars="200"/>
        <w:jc w:val="center"/>
        <w:outlineLvl w:val="1"/>
        <w:rPr>
          <w:rFonts w:ascii="仿宋_GB2312" w:eastAsia="仿宋_GB2312"/>
          <w:sz w:val="32"/>
          <w:szCs w:val="32"/>
        </w:rPr>
      </w:pPr>
      <w:r>
        <w:rPr>
          <w:rFonts w:hint="eastAsia" w:ascii="仿宋_GB2312" w:eastAsia="仿宋_GB2312"/>
          <w:b/>
          <w:sz w:val="36"/>
          <w:szCs w:val="36"/>
        </w:rPr>
        <w:t xml:space="preserve">                                                    </w:t>
      </w:r>
      <w:r>
        <w:rPr>
          <w:rFonts w:hint="eastAsia" w:ascii="仿宋_GB2312" w:eastAsia="仿宋_GB2312"/>
          <w:sz w:val="32"/>
          <w:szCs w:val="32"/>
        </w:rPr>
        <w:t>单位：万元</w:t>
      </w:r>
    </w:p>
    <w:tbl>
      <w:tblPr>
        <w:tblStyle w:val="5"/>
        <w:tblW w:w="0" w:type="auto"/>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spacing w:line="240" w:lineRule="exact"/>
              <w:jc w:val="center"/>
              <w:rPr>
                <w:b/>
                <w:bCs/>
                <w:sz w:val="22"/>
                <w:szCs w:val="22"/>
              </w:rPr>
            </w:pPr>
            <w:r>
              <w:rPr>
                <w:rFonts w:hint="eastAsia"/>
                <w:b/>
                <w:bCs/>
                <w:sz w:val="22"/>
                <w:szCs w:val="22"/>
              </w:rPr>
              <w:t>2023年执行数（决算数）</w:t>
            </w:r>
          </w:p>
          <w:p>
            <w:pPr>
              <w:spacing w:line="240" w:lineRule="exact"/>
              <w:jc w:val="center"/>
              <w:rPr>
                <w:b/>
                <w:bCs/>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2024年预算数</w:t>
            </w:r>
          </w:p>
        </w:tc>
        <w:tc>
          <w:tcPr>
            <w:tcW w:w="2836" w:type="dxa"/>
            <w:gridSpan w:val="2"/>
            <w:tcBorders>
              <w:top w:val="single" w:color="auto" w:sz="4" w:space="0"/>
              <w:bottom w:val="single" w:color="auto" w:sz="4" w:space="0"/>
              <w:right w:val="single" w:color="auto" w:sz="4" w:space="0"/>
            </w:tcBorders>
            <w:vAlign w:val="center"/>
          </w:tcPr>
          <w:p>
            <w:pPr>
              <w:widowControl/>
              <w:spacing w:line="240" w:lineRule="exact"/>
              <w:jc w:val="center"/>
              <w:rPr>
                <w:sz w:val="20"/>
                <w:szCs w:val="20"/>
              </w:rPr>
            </w:pPr>
            <w:r>
              <w:rPr>
                <w:rFonts w:hint="eastAsia"/>
                <w:b/>
                <w:bCs/>
                <w:sz w:val="22"/>
                <w:szCs w:val="22"/>
              </w:rPr>
              <w:t>2024年预算数与2023年执行数（决算数）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科目编码</w:t>
            </w:r>
          </w:p>
        </w:tc>
        <w:tc>
          <w:tcPr>
            <w:tcW w:w="1418" w:type="dxa"/>
            <w:vMerge w:val="restart"/>
            <w:tcBorders>
              <w:top w:val="nil"/>
              <w:left w:val="nil"/>
              <w:right w:val="single" w:color="auto" w:sz="4" w:space="0"/>
            </w:tcBorders>
            <w:vAlign w:val="center"/>
          </w:tcPr>
          <w:p>
            <w:pPr>
              <w:widowControl/>
              <w:spacing w:line="240" w:lineRule="exact"/>
              <w:jc w:val="center"/>
              <w:rPr>
                <w:b/>
                <w:bCs/>
                <w:sz w:val="22"/>
                <w:szCs w:val="22"/>
              </w:rPr>
            </w:pPr>
            <w:r>
              <w:rPr>
                <w:rFonts w:hint="eastAsia"/>
                <w:b/>
                <w:bCs/>
                <w:sz w:val="22"/>
                <w:szCs w:val="22"/>
              </w:rPr>
              <w:t>科目名称</w:t>
            </w:r>
          </w:p>
        </w:tc>
        <w:tc>
          <w:tcPr>
            <w:tcW w:w="1418" w:type="dxa"/>
            <w:vMerge w:val="continue"/>
            <w:tcBorders>
              <w:left w:val="nil"/>
              <w:right w:val="single" w:color="auto" w:sz="4" w:space="0"/>
            </w:tcBorders>
            <w:vAlign w:val="center"/>
          </w:tcPr>
          <w:p>
            <w:pPr>
              <w:widowControl/>
              <w:spacing w:line="240" w:lineRule="exact"/>
              <w:jc w:val="center"/>
              <w:rPr>
                <w:b/>
                <w:bCs/>
                <w:sz w:val="22"/>
                <w:szCs w:val="22"/>
              </w:rPr>
            </w:pPr>
          </w:p>
        </w:tc>
        <w:tc>
          <w:tcPr>
            <w:tcW w:w="1418" w:type="dxa"/>
            <w:vMerge w:val="restart"/>
            <w:tcBorders>
              <w:top w:val="nil"/>
              <w:left w:val="nil"/>
              <w:right w:val="single" w:color="auto" w:sz="4" w:space="0"/>
            </w:tcBorders>
            <w:vAlign w:val="center"/>
          </w:tcPr>
          <w:p>
            <w:pPr>
              <w:widowControl/>
              <w:spacing w:line="240" w:lineRule="exact"/>
              <w:jc w:val="center"/>
              <w:rPr>
                <w:b/>
                <w:bCs/>
                <w:sz w:val="22"/>
                <w:szCs w:val="22"/>
              </w:rPr>
            </w:pPr>
            <w:r>
              <w:rPr>
                <w:rFonts w:hint="eastAsia"/>
                <w:b/>
                <w:bCs/>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项目支出</w:t>
            </w:r>
          </w:p>
        </w:tc>
        <w:tc>
          <w:tcPr>
            <w:tcW w:w="1418" w:type="dxa"/>
            <w:vMerge w:val="restart"/>
            <w:tcBorders>
              <w:top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b/>
                <w:bCs/>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b/>
                <w:bCs/>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b/>
                <w:bCs/>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b/>
                <w:bCs/>
                <w:sz w:val="22"/>
                <w:szCs w:val="22"/>
              </w:rPr>
            </w:pPr>
          </w:p>
        </w:tc>
        <w:tc>
          <w:tcPr>
            <w:tcW w:w="1418" w:type="dxa"/>
            <w:tcBorders>
              <w:top w:val="single" w:color="auto" w:sz="4" w:space="0"/>
              <w:left w:val="nil"/>
              <w:bottom w:val="single" w:color="auto" w:sz="4" w:space="0"/>
              <w:right w:val="single" w:color="auto" w:sz="4" w:space="0"/>
            </w:tcBorders>
            <w:vAlign w:val="center"/>
          </w:tcPr>
          <w:p>
            <w:pPr>
              <w:spacing w:line="240" w:lineRule="exact"/>
              <w:jc w:val="center"/>
              <w:rPr>
                <w:b/>
                <w:bCs/>
                <w:sz w:val="22"/>
                <w:szCs w:val="22"/>
              </w:rPr>
            </w:pPr>
            <w:r>
              <w:rPr>
                <w:rFonts w:hint="eastAsia"/>
                <w:b/>
                <w:bCs/>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center"/>
              <w:rPr>
                <w:b/>
                <w:bCs/>
                <w:sz w:val="22"/>
                <w:szCs w:val="22"/>
              </w:rPr>
            </w:pPr>
            <w:r>
              <w:rPr>
                <w:rFonts w:hint="eastAsia"/>
                <w:b/>
                <w:bCs/>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 w:val="22"/>
                <w:szCs w:val="22"/>
              </w:rPr>
            </w:pPr>
            <w:r>
              <w:rPr>
                <w:rFonts w:hint="eastAsia"/>
                <w:b/>
                <w:bCs/>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b/>
                <w:bCs/>
                <w:sz w:val="22"/>
                <w:szCs w:val="22"/>
              </w:rPr>
            </w:pPr>
          </w:p>
        </w:tc>
        <w:tc>
          <w:tcPr>
            <w:tcW w:w="1418" w:type="dxa"/>
            <w:vMerge w:val="continue"/>
            <w:tcBorders>
              <w:bottom w:val="single" w:color="auto" w:sz="4" w:space="0"/>
              <w:right w:val="single" w:color="auto" w:sz="4" w:space="0"/>
            </w:tcBorders>
            <w:vAlign w:val="center"/>
          </w:tcPr>
          <w:p>
            <w:pPr>
              <w:widowControl/>
              <w:rPr>
                <w:b/>
                <w:bCs/>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b/>
                <w:bCs/>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sz w:val="20"/>
                <w:szCs w:val="20"/>
              </w:rPr>
            </w:pPr>
          </w:p>
        </w:tc>
        <w:tc>
          <w:tcPr>
            <w:tcW w:w="1418" w:type="dxa"/>
            <w:tcBorders>
              <w:top w:val="nil"/>
              <w:left w:val="nil"/>
              <w:bottom w:val="single" w:color="auto" w:sz="4" w:space="0"/>
              <w:right w:val="single" w:color="auto" w:sz="4" w:space="0"/>
            </w:tcBorders>
            <w:vAlign w:val="center"/>
          </w:tcPr>
          <w:p>
            <w:pPr>
              <w:widowControl/>
              <w:jc w:val="lef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bottom w:val="single" w:color="auto" w:sz="4" w:space="0"/>
              <w:right w:val="single" w:color="auto" w:sz="4" w:space="0"/>
            </w:tcBorders>
          </w:tcPr>
          <w:p>
            <w:pPr>
              <w:widowControl/>
              <w:jc w:val="left"/>
              <w:rPr>
                <w:sz w:val="20"/>
                <w:szCs w:val="20"/>
              </w:rPr>
            </w:pPr>
          </w:p>
        </w:tc>
        <w:tc>
          <w:tcPr>
            <w:tcW w:w="1418" w:type="dxa"/>
            <w:tcBorders>
              <w:top w:val="single" w:color="auto" w:sz="4" w:space="0"/>
              <w:bottom w:val="single" w:color="auto" w:sz="4" w:space="0"/>
              <w:right w:val="single" w:color="auto" w:sz="4" w:space="0"/>
            </w:tcBorders>
          </w:tcPr>
          <w:p>
            <w:pPr>
              <w:widowControl/>
              <w:jc w:val="left"/>
              <w:rPr>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lef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top w:val="single" w:color="auto" w:sz="4" w:space="0"/>
              <w:bottom w:val="single" w:color="auto" w:sz="4" w:space="0"/>
              <w:right w:val="single" w:color="auto" w:sz="4" w:space="0"/>
            </w:tcBorders>
          </w:tcPr>
          <w:p>
            <w:pPr>
              <w:widowControl/>
              <w:jc w:val="left"/>
              <w:rPr>
                <w:sz w:val="20"/>
                <w:szCs w:val="20"/>
              </w:rPr>
            </w:pPr>
          </w:p>
        </w:tc>
        <w:tc>
          <w:tcPr>
            <w:tcW w:w="1418" w:type="dxa"/>
            <w:tcBorders>
              <w:top w:val="single" w:color="auto" w:sz="4" w:space="0"/>
              <w:bottom w:val="single" w:color="auto" w:sz="4" w:space="0"/>
              <w:right w:val="single" w:color="auto" w:sz="4" w:space="0"/>
            </w:tcBorders>
          </w:tcPr>
          <w:p>
            <w:pPr>
              <w:widowControl/>
              <w:jc w:val="left"/>
              <w:rPr>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lef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top w:val="single" w:color="auto" w:sz="4" w:space="0"/>
              <w:bottom w:val="single" w:color="auto" w:sz="4" w:space="0"/>
              <w:right w:val="single" w:color="auto" w:sz="4" w:space="0"/>
            </w:tcBorders>
          </w:tcPr>
          <w:p>
            <w:pPr>
              <w:widowControl/>
              <w:jc w:val="left"/>
              <w:rPr>
                <w:sz w:val="20"/>
                <w:szCs w:val="20"/>
              </w:rPr>
            </w:pPr>
          </w:p>
        </w:tc>
        <w:tc>
          <w:tcPr>
            <w:tcW w:w="1418" w:type="dxa"/>
            <w:tcBorders>
              <w:top w:val="single" w:color="auto" w:sz="4" w:space="0"/>
              <w:bottom w:val="single" w:color="auto" w:sz="4" w:space="0"/>
              <w:right w:val="single" w:color="auto" w:sz="4" w:space="0"/>
            </w:tcBorders>
          </w:tcPr>
          <w:p>
            <w:pPr>
              <w:widowControl/>
              <w:jc w:val="left"/>
              <w:rPr>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lef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top w:val="single" w:color="auto" w:sz="4" w:space="0"/>
              <w:bottom w:val="single" w:color="auto" w:sz="4" w:space="0"/>
              <w:right w:val="single" w:color="auto" w:sz="4" w:space="0"/>
            </w:tcBorders>
          </w:tcPr>
          <w:p>
            <w:pPr>
              <w:widowControl/>
              <w:jc w:val="left"/>
              <w:rPr>
                <w:sz w:val="20"/>
                <w:szCs w:val="20"/>
              </w:rPr>
            </w:pPr>
          </w:p>
        </w:tc>
        <w:tc>
          <w:tcPr>
            <w:tcW w:w="1418" w:type="dxa"/>
            <w:tcBorders>
              <w:top w:val="single" w:color="auto" w:sz="4" w:space="0"/>
              <w:bottom w:val="single" w:color="auto" w:sz="4" w:space="0"/>
              <w:right w:val="single" w:color="auto" w:sz="4" w:space="0"/>
            </w:tcBorders>
          </w:tcPr>
          <w:p>
            <w:pPr>
              <w:widowControl/>
              <w:jc w:val="left"/>
              <w:rPr>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sz w:val="20"/>
                <w:szCs w:val="20"/>
              </w:rPr>
            </w:pPr>
          </w:p>
        </w:tc>
        <w:tc>
          <w:tcPr>
            <w:tcW w:w="1418" w:type="dxa"/>
            <w:tcBorders>
              <w:top w:val="nil"/>
              <w:left w:val="nil"/>
              <w:bottom w:val="single" w:color="auto" w:sz="4" w:space="0"/>
              <w:right w:val="single" w:color="auto" w:sz="4" w:space="0"/>
            </w:tcBorders>
            <w:vAlign w:val="center"/>
          </w:tcPr>
          <w:p>
            <w:pPr>
              <w:widowControl/>
              <w:jc w:val="left"/>
              <w:rPr>
                <w:sz w:val="20"/>
                <w:szCs w:val="20"/>
              </w:rPr>
            </w:pP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single" w:color="auto" w:sz="4" w:space="0"/>
              <w:bottom w:val="single" w:color="auto" w:sz="4" w:space="0"/>
              <w:right w:val="single" w:color="auto" w:sz="4" w:space="0"/>
            </w:tcBorders>
          </w:tcPr>
          <w:p>
            <w:pPr>
              <w:widowControl/>
              <w:jc w:val="left"/>
              <w:rPr>
                <w:sz w:val="20"/>
                <w:szCs w:val="20"/>
              </w:rPr>
            </w:pPr>
          </w:p>
        </w:tc>
        <w:tc>
          <w:tcPr>
            <w:tcW w:w="1418" w:type="dxa"/>
            <w:tcBorders>
              <w:top w:val="single" w:color="auto" w:sz="4" w:space="0"/>
              <w:bottom w:val="single" w:color="auto" w:sz="4" w:space="0"/>
              <w:right w:val="single" w:color="auto" w:sz="4" w:space="0"/>
            </w:tcBorders>
          </w:tcPr>
          <w:p>
            <w:pPr>
              <w:widowControl/>
              <w:jc w:val="left"/>
              <w:rPr>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lef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top w:val="single" w:color="auto" w:sz="4" w:space="0"/>
              <w:bottom w:val="single" w:color="auto" w:sz="4" w:space="0"/>
              <w:right w:val="single" w:color="auto" w:sz="4" w:space="0"/>
            </w:tcBorders>
          </w:tcPr>
          <w:p>
            <w:pPr>
              <w:widowControl/>
              <w:jc w:val="left"/>
              <w:rPr>
                <w:sz w:val="20"/>
                <w:szCs w:val="20"/>
              </w:rPr>
            </w:pPr>
          </w:p>
        </w:tc>
        <w:tc>
          <w:tcPr>
            <w:tcW w:w="1418" w:type="dxa"/>
            <w:tcBorders>
              <w:top w:val="single" w:color="auto" w:sz="4" w:space="0"/>
              <w:bottom w:val="single" w:color="auto" w:sz="4" w:space="0"/>
              <w:right w:val="single" w:color="auto" w:sz="4" w:space="0"/>
            </w:tcBorders>
          </w:tcPr>
          <w:p>
            <w:pPr>
              <w:widowControl/>
              <w:jc w:val="left"/>
              <w:rPr>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lef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top w:val="nil"/>
              <w:left w:val="nil"/>
              <w:bottom w:val="single" w:color="auto" w:sz="4" w:space="0"/>
              <w:right w:val="single" w:color="auto" w:sz="4" w:space="0"/>
            </w:tcBorders>
            <w:vAlign w:val="center"/>
          </w:tcPr>
          <w:p>
            <w:pPr>
              <w:widowControl/>
              <w:jc w:val="right"/>
              <w:rPr>
                <w:sz w:val="20"/>
                <w:szCs w:val="20"/>
              </w:rPr>
            </w:pPr>
          </w:p>
        </w:tc>
        <w:tc>
          <w:tcPr>
            <w:tcW w:w="1418" w:type="dxa"/>
            <w:tcBorders>
              <w:top w:val="nil"/>
              <w:left w:val="nil"/>
              <w:bottom w:val="single" w:color="auto" w:sz="4" w:space="0"/>
              <w:right w:val="single" w:color="auto" w:sz="4" w:space="0"/>
            </w:tcBorders>
            <w:vAlign w:val="center"/>
          </w:tcPr>
          <w:p>
            <w:pPr>
              <w:jc w:val="right"/>
              <w:rPr>
                <w:sz w:val="20"/>
                <w:szCs w:val="20"/>
              </w:rPr>
            </w:pPr>
            <w:r>
              <w:rPr>
                <w:rFonts w:hint="eastAsia"/>
                <w:sz w:val="20"/>
                <w:szCs w:val="20"/>
              </w:rPr>
              <w:t>　</w:t>
            </w:r>
          </w:p>
        </w:tc>
        <w:tc>
          <w:tcPr>
            <w:tcW w:w="1418" w:type="dxa"/>
            <w:tcBorders>
              <w:top w:val="single" w:color="auto" w:sz="4" w:space="0"/>
              <w:bottom w:val="single" w:color="auto" w:sz="4" w:space="0"/>
              <w:right w:val="single" w:color="auto" w:sz="4" w:space="0"/>
            </w:tcBorders>
          </w:tcPr>
          <w:p>
            <w:pPr>
              <w:widowControl/>
              <w:jc w:val="left"/>
              <w:rPr>
                <w:sz w:val="20"/>
                <w:szCs w:val="20"/>
              </w:rPr>
            </w:pPr>
          </w:p>
        </w:tc>
        <w:tc>
          <w:tcPr>
            <w:tcW w:w="1418" w:type="dxa"/>
            <w:tcBorders>
              <w:top w:val="single" w:color="auto" w:sz="4" w:space="0"/>
              <w:bottom w:val="single" w:color="auto" w:sz="4" w:space="0"/>
              <w:right w:val="single" w:color="auto" w:sz="4" w:space="0"/>
            </w:tcBorders>
          </w:tcPr>
          <w:p>
            <w:pPr>
              <w:widowControl/>
              <w:jc w:val="left"/>
              <w:rPr>
                <w:sz w:val="20"/>
                <w:szCs w:val="20"/>
              </w:rPr>
            </w:pPr>
          </w:p>
        </w:tc>
      </w:tr>
    </w:tbl>
    <w:p>
      <w:pPr>
        <w:widowControl/>
        <w:ind w:firstLine="672" w:firstLineChars="200"/>
        <w:outlineLvl w:val="1"/>
        <w:rPr>
          <w:rFonts w:ascii="黑体" w:eastAsia="黑体"/>
          <w:bCs/>
          <w:sz w:val="32"/>
          <w:szCs w:val="32"/>
        </w:rPr>
      </w:pPr>
      <w:r>
        <w:rPr>
          <w:rFonts w:hint="eastAsia" w:ascii="黑体" w:eastAsia="黑体"/>
          <w:bCs/>
          <w:sz w:val="32"/>
          <w:szCs w:val="32"/>
        </w:rPr>
        <w:t>六、部门收支预算总表</w:t>
      </w:r>
    </w:p>
    <w:p>
      <w:pPr>
        <w:widowControl/>
        <w:jc w:val="center"/>
        <w:outlineLvl w:val="1"/>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部门收支预算总表</w:t>
      </w:r>
    </w:p>
    <w:p>
      <w:pPr>
        <w:widowControl/>
        <w:outlineLvl w:val="1"/>
        <w:rPr>
          <w:rFonts w:ascii="仿宋_GB2312" w:eastAsia="仿宋_GB2312"/>
          <w:b/>
          <w:sz w:val="36"/>
          <w:szCs w:val="36"/>
        </w:rPr>
      </w:pPr>
      <w:r>
        <w:rPr>
          <w:rFonts w:hint="eastAsia" w:ascii="仿宋_GB2312" w:eastAsia="仿宋_GB2312"/>
          <w:sz w:val="32"/>
          <w:szCs w:val="32"/>
        </w:rPr>
        <w:t xml:space="preserve">                                                               单位：万元</w:t>
      </w:r>
    </w:p>
    <w:tbl>
      <w:tblPr>
        <w:tblStyle w:val="5"/>
        <w:tblW w:w="0" w:type="auto"/>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b/>
                <w:color w:val="000000"/>
                <w:sz w:val="22"/>
                <w:szCs w:val="22"/>
              </w:rPr>
            </w:pPr>
            <w:r>
              <w:rPr>
                <w:rFonts w:hint="eastAsia"/>
                <w:b/>
                <w:color w:val="00000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b/>
                <w:color w:val="000000"/>
                <w:sz w:val="22"/>
                <w:szCs w:val="22"/>
              </w:rPr>
            </w:pPr>
            <w:r>
              <w:rPr>
                <w:rFonts w:hint="eastAsia"/>
                <w:b/>
                <w:color w:val="00000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b/>
                <w:color w:val="000000"/>
                <w:sz w:val="22"/>
                <w:szCs w:val="22"/>
              </w:rPr>
            </w:pPr>
            <w:r>
              <w:rPr>
                <w:rFonts w:hint="eastAsia"/>
                <w:b/>
                <w:color w:val="00000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b/>
                <w:color w:val="000000"/>
                <w:sz w:val="22"/>
                <w:szCs w:val="22"/>
              </w:rPr>
            </w:pPr>
            <w:r>
              <w:rPr>
                <w:rFonts w:hint="eastAsia"/>
                <w:b/>
                <w:color w:val="00000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b/>
                <w:color w:val="000000"/>
                <w:sz w:val="22"/>
                <w:szCs w:val="22"/>
              </w:rPr>
            </w:pPr>
            <w:r>
              <w:rPr>
                <w:rFonts w:hint="eastAsia"/>
                <w:b/>
                <w:color w:val="00000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b/>
                <w:color w:val="000000"/>
                <w:sz w:val="22"/>
                <w:szCs w:val="22"/>
              </w:rPr>
            </w:pPr>
            <w:r>
              <w:rPr>
                <w:rFonts w:hint="eastAsia"/>
                <w:b/>
                <w:color w:val="00000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r>
              <w:rPr>
                <w:rFonts w:hint="eastAsia"/>
                <w:color w:val="000000"/>
                <w:sz w:val="22"/>
                <w:szCs w:val="22"/>
              </w:rPr>
              <w:t>385.85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r>
              <w:rPr>
                <w:rFonts w:hint="eastAsia"/>
                <w:color w:val="000000"/>
                <w:sz w:val="22"/>
                <w:szCs w:val="22"/>
              </w:rPr>
              <w:t>385.85</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r>
              <w:rPr>
                <w:rFonts w:hint="eastAsia"/>
                <w:color w:val="000000"/>
                <w:sz w:val="22"/>
                <w:szCs w:val="22"/>
              </w:rPr>
              <w:t>385.85</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r>
              <w:rPr>
                <w:color w:val="00000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r>
              <w:rPr>
                <w:rFonts w:hint="eastAsia"/>
                <w:color w:val="000000"/>
                <w:sz w:val="22"/>
                <w:szCs w:val="22"/>
              </w:rPr>
              <w:t>385.85</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r>
              <w:rPr>
                <w:color w:val="00000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r>
              <w:rPr>
                <w:color w:val="00000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r>
              <w:rPr>
                <w:color w:val="00000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p>
        </w:tc>
      </w:tr>
      <w:tr>
        <w:tblPrEx>
          <w:tblCellMar>
            <w:top w:w="15" w:type="dxa"/>
            <w:left w:w="108" w:type="dxa"/>
            <w:bottom w:w="15" w:type="dxa"/>
            <w:right w:w="108" w:type="dxa"/>
          </w:tblCellMar>
        </w:tblPrEx>
        <w:trPr>
          <w:trHeight w:val="453"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sz w:val="22"/>
                <w:szCs w:val="22"/>
              </w:rPr>
            </w:pPr>
            <w:r>
              <w:rPr>
                <w:rFonts w:hint="eastAsia"/>
                <w:color w:val="00000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r>
              <w:rPr>
                <w:rFonts w:hint="eastAsia"/>
                <w:color w:val="000000"/>
                <w:sz w:val="22"/>
                <w:szCs w:val="22"/>
              </w:rPr>
              <w:t>385.85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sz w:val="22"/>
                <w:szCs w:val="22"/>
              </w:rPr>
            </w:pPr>
            <w:r>
              <w:rPr>
                <w:rFonts w:hint="eastAsia"/>
                <w:color w:val="00000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r>
              <w:rPr>
                <w:rFonts w:hint="eastAsia"/>
                <w:color w:val="000000"/>
                <w:sz w:val="22"/>
                <w:szCs w:val="22"/>
              </w:rPr>
              <w:t>385.85</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r>
              <w:rPr>
                <w:rFonts w:hint="eastAsia"/>
                <w:color w:val="00000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sz w:val="22"/>
                <w:szCs w:val="22"/>
              </w:rPr>
            </w:pPr>
            <w:r>
              <w:rPr>
                <w:rFonts w:hint="eastAsia"/>
                <w:color w:val="00000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r>
              <w:rPr>
                <w:rFonts w:hint="eastAsia"/>
                <w:color w:val="000000"/>
                <w:sz w:val="22"/>
                <w:szCs w:val="22"/>
              </w:rPr>
              <w:t>385.85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sz w:val="22"/>
                <w:szCs w:val="22"/>
              </w:rPr>
            </w:pPr>
            <w:r>
              <w:rPr>
                <w:rFonts w:hint="eastAsia"/>
                <w:color w:val="00000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color w:val="000000"/>
                <w:sz w:val="22"/>
                <w:szCs w:val="22"/>
              </w:rPr>
            </w:pPr>
            <w:r>
              <w:rPr>
                <w:rFonts w:hint="eastAsia"/>
                <w:color w:val="000000"/>
                <w:sz w:val="22"/>
                <w:szCs w:val="22"/>
              </w:rPr>
              <w:t>385.85</w:t>
            </w:r>
          </w:p>
        </w:tc>
      </w:tr>
    </w:tbl>
    <w:p>
      <w:pPr>
        <w:widowControl/>
        <w:ind w:firstLine="672" w:firstLineChars="200"/>
        <w:outlineLvl w:val="1"/>
        <w:rPr>
          <w:rFonts w:ascii="仿宋_GB2312" w:eastAsia="仿宋_GB2312"/>
          <w:sz w:val="32"/>
          <w:szCs w:val="32"/>
        </w:rPr>
      </w:pPr>
      <w:r>
        <w:rPr>
          <w:rFonts w:hint="eastAsia" w:ascii="仿宋_GB2312" w:eastAsia="仿宋_GB2312"/>
          <w:sz w:val="32"/>
          <w:szCs w:val="32"/>
        </w:rPr>
        <w:t xml:space="preserve">                                                            </w:t>
      </w:r>
    </w:p>
    <w:p>
      <w:pPr>
        <w:widowControl/>
        <w:jc w:val="left"/>
        <w:outlineLvl w:val="1"/>
        <w:rPr>
          <w:rFonts w:ascii="黑体" w:eastAsia="黑体"/>
          <w:b/>
          <w:bCs/>
          <w:sz w:val="32"/>
          <w:szCs w:val="32"/>
        </w:rPr>
      </w:pPr>
    </w:p>
    <w:p>
      <w:pPr>
        <w:pStyle w:val="2"/>
        <w:rPr>
          <w:rFonts w:ascii="黑体" w:eastAsia="黑体"/>
          <w:b/>
          <w:bCs/>
          <w:sz w:val="32"/>
          <w:szCs w:val="32"/>
        </w:rPr>
      </w:pPr>
    </w:p>
    <w:p>
      <w:pPr>
        <w:pStyle w:val="2"/>
        <w:rPr>
          <w:rFonts w:ascii="黑体" w:eastAsia="黑体"/>
          <w:b/>
          <w:bCs/>
          <w:sz w:val="32"/>
          <w:szCs w:val="32"/>
        </w:rPr>
      </w:pPr>
    </w:p>
    <w:p>
      <w:pPr>
        <w:pStyle w:val="2"/>
        <w:rPr>
          <w:rFonts w:ascii="黑体" w:eastAsia="黑体"/>
          <w:b/>
          <w:bCs/>
          <w:sz w:val="32"/>
          <w:szCs w:val="32"/>
        </w:rPr>
      </w:pPr>
    </w:p>
    <w:p>
      <w:pPr>
        <w:pStyle w:val="2"/>
        <w:rPr>
          <w:rFonts w:ascii="黑体" w:eastAsia="黑体"/>
          <w:b/>
          <w:bCs/>
          <w:sz w:val="32"/>
          <w:szCs w:val="32"/>
        </w:rPr>
      </w:pPr>
    </w:p>
    <w:p>
      <w:pPr>
        <w:pStyle w:val="2"/>
        <w:rPr>
          <w:rFonts w:ascii="黑体" w:eastAsia="黑体"/>
          <w:b/>
          <w:bCs/>
          <w:sz w:val="32"/>
          <w:szCs w:val="32"/>
        </w:rPr>
      </w:pPr>
    </w:p>
    <w:p>
      <w:pPr>
        <w:widowControl/>
        <w:ind w:firstLine="672" w:firstLineChars="200"/>
        <w:jc w:val="left"/>
        <w:outlineLvl w:val="1"/>
        <w:rPr>
          <w:rFonts w:ascii="黑体" w:eastAsia="黑体"/>
          <w:sz w:val="32"/>
          <w:szCs w:val="32"/>
        </w:rPr>
      </w:pPr>
      <w:r>
        <w:rPr>
          <w:rFonts w:hint="eastAsia" w:ascii="黑体" w:eastAsia="黑体"/>
          <w:sz w:val="32"/>
          <w:szCs w:val="32"/>
        </w:rPr>
        <w:t>七、部门收入总表</w:t>
      </w:r>
    </w:p>
    <w:p>
      <w:pPr>
        <w:widowControl/>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部门收入总表</w:t>
      </w:r>
    </w:p>
    <w:p>
      <w:pPr>
        <w:widowControl/>
        <w:jc w:val="left"/>
        <w:outlineLvl w:val="1"/>
        <w:rPr>
          <w:rFonts w:ascii="仿宋_GB2312" w:eastAsia="仿宋_GB2312"/>
          <w:sz w:val="32"/>
          <w:szCs w:val="32"/>
        </w:rPr>
      </w:pPr>
      <w:r>
        <w:rPr>
          <w:rFonts w:hint="eastAsia" w:ascii="仿宋_GB2312" w:eastAsia="仿宋_GB2312"/>
          <w:sz w:val="32"/>
          <w:szCs w:val="32"/>
        </w:rPr>
        <w:t xml:space="preserve">                                                                     单位：万元</w:t>
      </w:r>
    </w:p>
    <w:tbl>
      <w:tblPr>
        <w:tblStyle w:val="5"/>
        <w:tblW w:w="0" w:type="auto"/>
        <w:tblInd w:w="93" w:type="dxa"/>
        <w:tblLayout w:type="fixed"/>
        <w:tblCellMar>
          <w:top w:w="15" w:type="dxa"/>
          <w:left w:w="108" w:type="dxa"/>
          <w:bottom w:w="15" w:type="dxa"/>
          <w:right w:w="108" w:type="dxa"/>
        </w:tblCellMar>
      </w:tblPr>
      <w:tblGrid>
        <w:gridCol w:w="1275"/>
        <w:gridCol w:w="839"/>
        <w:gridCol w:w="839"/>
        <w:gridCol w:w="839"/>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小计</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一般公共预算财政拨款收入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小计</w:t>
            </w:r>
          </w:p>
        </w:tc>
        <w:tc>
          <w:tcPr>
            <w:tcW w:w="860" w:type="dxa"/>
            <w:tcBorders>
              <w:top w:val="single" w:color="000000" w:sz="4" w:space="0"/>
              <w:bottom w:val="single" w:color="000000" w:sz="4" w:space="0"/>
            </w:tcBorders>
            <w:vAlign w:val="center"/>
          </w:tcPr>
          <w:p>
            <w:pPr>
              <w:widowControl/>
              <w:spacing w:line="240" w:lineRule="exact"/>
              <w:jc w:val="left"/>
              <w:rPr>
                <w:b/>
                <w:bCs/>
                <w:color w:val="000000"/>
                <w:sz w:val="22"/>
                <w:szCs w:val="22"/>
              </w:rPr>
            </w:pPr>
            <w:r>
              <w:rPr>
                <w:rFonts w:hint="eastAsia"/>
                <w:b/>
                <w:bCs/>
                <w:color w:val="00000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spacing w:line="240" w:lineRule="exact"/>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r>
      <w:tr>
        <w:tblPrEx>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b/>
                <w:bCs/>
                <w:color w:val="00000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b/>
                <w:bCs/>
                <w:color w:val="00000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b/>
                <w:bCs/>
                <w:color w:val="00000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b/>
                <w:bCs/>
                <w:color w:val="00000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bCs/>
                <w:color w:val="00000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r>
              <w:rPr>
                <w:rFonts w:hint="eastAsia"/>
                <w:color w:val="000000"/>
                <w:sz w:val="22"/>
                <w:szCs w:val="22"/>
              </w:rPr>
              <w:t>385.85</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r>
              <w:rPr>
                <w:rFonts w:hint="eastAsia"/>
                <w:color w:val="000000"/>
                <w:sz w:val="22"/>
                <w:szCs w:val="22"/>
              </w:rPr>
              <w:t>385.85</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r>
              <w:rPr>
                <w:rFonts w:hint="eastAsia"/>
                <w:color w:val="000000"/>
                <w:sz w:val="22"/>
                <w:szCs w:val="22"/>
              </w:rPr>
              <w:t>385.85</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left"/>
              <w:rPr>
                <w:color w:val="00000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spacing w:line="360" w:lineRule="exact"/>
              <w:ind w:right="161" w:rightChars="63"/>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color w:val="000000"/>
              </w:rPr>
            </w:pPr>
          </w:p>
        </w:tc>
      </w:tr>
    </w:tbl>
    <w:p>
      <w:pPr>
        <w:widowControl/>
        <w:ind w:firstLine="672" w:firstLineChars="200"/>
        <w:jc w:val="left"/>
        <w:outlineLvl w:val="1"/>
        <w:rPr>
          <w:rFonts w:ascii="黑体" w:eastAsia="黑体"/>
          <w:sz w:val="32"/>
          <w:szCs w:val="32"/>
        </w:rPr>
      </w:pPr>
      <w:r>
        <w:rPr>
          <w:rFonts w:hint="eastAsia" w:ascii="黑体" w:eastAsia="黑体"/>
          <w:sz w:val="32"/>
          <w:szCs w:val="32"/>
        </w:rPr>
        <w:t>八、部门支出总表</w:t>
      </w:r>
    </w:p>
    <w:p>
      <w:pPr>
        <w:widowControl/>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部门支出总表</w:t>
      </w:r>
    </w:p>
    <w:p>
      <w:pPr>
        <w:rPr>
          <w:szCs w:val="21"/>
        </w:rPr>
      </w:pPr>
      <w:r>
        <w:rPr>
          <w:rFonts w:hint="eastAsia" w:ascii="仿宋_GB2312" w:eastAsia="仿宋_GB2312"/>
          <w:sz w:val="32"/>
          <w:szCs w:val="32"/>
        </w:rPr>
        <w:t xml:space="preserve">                                                                 单位：万元</w:t>
      </w:r>
    </w:p>
    <w:tbl>
      <w:tblPr>
        <w:tblStyle w:val="5"/>
        <w:tblW w:w="0" w:type="auto"/>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22"/>
                <w:szCs w:val="22"/>
              </w:rPr>
            </w:pPr>
            <w:r>
              <w:rPr>
                <w:rFonts w:hint="eastAsia"/>
                <w:b/>
                <w:bCs/>
                <w:color w:val="00000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sz w:val="20"/>
                <w:szCs w:val="20"/>
              </w:rPr>
            </w:pPr>
            <w:r>
              <w:rPr>
                <w:rFonts w:hint="eastAsia"/>
                <w:sz w:val="20"/>
                <w:szCs w:val="20"/>
              </w:rPr>
              <w:t>　</w:t>
            </w:r>
            <w:r>
              <w:rPr>
                <w:sz w:val="20"/>
                <w:szCs w:val="20"/>
              </w:rPr>
              <w:t>2019999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5.4</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 w:val="18"/>
                <w:szCs w:val="18"/>
              </w:rPr>
            </w:pPr>
            <w:r>
              <w:rPr>
                <w:rFonts w:hint="eastAsia" w:cs="Arial"/>
                <w:color w:val="000000"/>
                <w:sz w:val="18"/>
                <w:szCs w:val="18"/>
              </w:rPr>
              <w:t>　　　　2080505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22.83</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 w:val="18"/>
                <w:szCs w:val="18"/>
              </w:rPr>
            </w:pPr>
            <w:r>
              <w:rPr>
                <w:rFonts w:hint="eastAsia" w:cs="Arial"/>
                <w:color w:val="000000"/>
                <w:sz w:val="18"/>
                <w:szCs w:val="18"/>
              </w:rPr>
              <w:t>　　　　2080506</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11.41</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 w:val="18"/>
                <w:szCs w:val="18"/>
              </w:rPr>
            </w:pPr>
            <w:r>
              <w:rPr>
                <w:rFonts w:hint="eastAsia" w:cs="Arial"/>
                <w:color w:val="000000"/>
                <w:sz w:val="18"/>
                <w:szCs w:val="18"/>
              </w:rPr>
              <w:t>　　　　2101103</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3.09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 w:val="18"/>
                <w:szCs w:val="18"/>
              </w:rPr>
            </w:pPr>
            <w:r>
              <w:rPr>
                <w:rFonts w:hint="eastAsia" w:cs="Arial"/>
                <w:color w:val="000000"/>
                <w:sz w:val="18"/>
                <w:szCs w:val="18"/>
              </w:rPr>
              <w:t>　　　　2101199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9.94</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 w:val="18"/>
                <w:szCs w:val="18"/>
              </w:rPr>
            </w:pPr>
            <w:r>
              <w:rPr>
                <w:rFonts w:hint="eastAsia" w:cs="Arial"/>
                <w:color w:val="000000"/>
                <w:sz w:val="18"/>
                <w:szCs w:val="18"/>
              </w:rPr>
              <w:t>　　　　2101202</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50</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 w:val="18"/>
                <w:szCs w:val="18"/>
              </w:rPr>
            </w:pPr>
            <w:r>
              <w:rPr>
                <w:rFonts w:hint="eastAsia" w:cs="Arial"/>
                <w:color w:val="000000"/>
                <w:sz w:val="18"/>
                <w:szCs w:val="18"/>
              </w:rPr>
              <w:t>　　　　2101505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 w:val="18"/>
                <w:szCs w:val="18"/>
              </w:rPr>
            </w:pPr>
            <w:r>
              <w:rPr>
                <w:rFonts w:hint="eastAsia" w:cs="Arial"/>
                <w:color w:val="000000"/>
                <w:sz w:val="18"/>
                <w:szCs w:val="18"/>
              </w:rPr>
              <w:t>　　　　2101506</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20</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 w:val="18"/>
                <w:szCs w:val="18"/>
              </w:rPr>
            </w:pPr>
            <w:r>
              <w:rPr>
                <w:rFonts w:hint="eastAsia" w:cs="Arial"/>
                <w:color w:val="000000"/>
                <w:sz w:val="18"/>
                <w:szCs w:val="18"/>
              </w:rPr>
              <w:t>　　　　2101550</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193.17</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 w:val="18"/>
                <w:szCs w:val="18"/>
              </w:rPr>
            </w:pPr>
            <w:r>
              <w:rPr>
                <w:rFonts w:hint="eastAsia" w:cs="Arial"/>
                <w:color w:val="000000"/>
                <w:sz w:val="18"/>
                <w:szCs w:val="18"/>
              </w:rPr>
              <w:t>　　　　2101599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26</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 w:val="18"/>
                <w:szCs w:val="18"/>
              </w:rPr>
            </w:pPr>
            <w:r>
              <w:rPr>
                <w:rFonts w:hint="eastAsia" w:cs="Arial"/>
                <w:color w:val="000000"/>
                <w:sz w:val="18"/>
                <w:szCs w:val="18"/>
              </w:rPr>
              <w:t>　　　　2210201</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19.91</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 w:val="18"/>
                <w:szCs w:val="18"/>
              </w:rPr>
            </w:pPr>
            <w:r>
              <w:rPr>
                <w:rFonts w:hint="eastAsia" w:cs="Arial"/>
                <w:color w:val="000000"/>
                <w:sz w:val="18"/>
                <w:szCs w:val="18"/>
              </w:rPr>
              <w:t>　　　　2210203</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jc w:val="right"/>
              <w:rPr>
                <w:rFonts w:cs="Arial"/>
                <w:color w:val="000000"/>
                <w:sz w:val="21"/>
                <w:szCs w:val="18"/>
              </w:rPr>
            </w:pPr>
            <w:r>
              <w:rPr>
                <w:rFonts w:hint="eastAsia" w:cs="Arial"/>
                <w:color w:val="000000"/>
                <w:sz w:val="21"/>
                <w:szCs w:val="18"/>
              </w:rPr>
              <w:t>15.08</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olor w:val="000000"/>
                <w:sz w:val="22"/>
                <w:szCs w:val="22"/>
              </w:rPr>
            </w:pPr>
          </w:p>
        </w:tc>
      </w:tr>
    </w:tbl>
    <w:p>
      <w:pPr>
        <w:sectPr>
          <w:pgSz w:w="16838" w:h="11906" w:orient="landscape"/>
          <w:pgMar w:top="1797" w:right="1440" w:bottom="1797" w:left="1440" w:header="851" w:footer="992" w:gutter="0"/>
          <w:pgNumType w:fmt="numberInDash"/>
          <w:cols w:space="720" w:num="1"/>
          <w:docGrid w:type="linesAndChars" w:linePitch="312" w:charSpace="0"/>
        </w:sectPr>
      </w:pPr>
    </w:p>
    <w:p>
      <w:pPr>
        <w:widowControl/>
        <w:spacing w:line="560" w:lineRule="exact"/>
        <w:outlineLvl w:val="1"/>
        <w:rPr>
          <w:rFonts w:ascii="方正小标宋简体" w:hAnsi="方正小标宋简体" w:eastAsia="方正小标宋简体" w:cs="方正小标宋简体"/>
          <w:sz w:val="44"/>
          <w:szCs w:val="44"/>
        </w:rPr>
      </w:pPr>
      <w:r>
        <w:rPr>
          <w:rFonts w:hint="eastAsia"/>
          <w:b/>
          <w:sz w:val="44"/>
          <w:szCs w:val="44"/>
        </w:rPr>
        <w:t>原州区医疗保险服务中心</w:t>
      </w:r>
      <w:r>
        <w:rPr>
          <w:rFonts w:hint="eastAsia" w:ascii="方正小标宋简体" w:hAnsi="方正小标宋简体" w:eastAsia="方正小标宋简体" w:cs="方正小标宋简体"/>
          <w:sz w:val="44"/>
          <w:szCs w:val="44"/>
        </w:rPr>
        <w:t>2024年部门预算——部门预算情况说明</w:t>
      </w:r>
    </w:p>
    <w:p>
      <w:pPr>
        <w:widowControl/>
        <w:spacing w:line="560" w:lineRule="exact"/>
        <w:outlineLvl w:val="1"/>
        <w:rPr>
          <w:rFonts w:ascii="仿宋_GB2312" w:eastAsia="仿宋_GB2312"/>
          <w:b/>
          <w:bCs/>
          <w:sz w:val="36"/>
          <w:szCs w:val="36"/>
        </w:rPr>
      </w:pPr>
    </w:p>
    <w:p>
      <w:pPr>
        <w:widowControl/>
        <w:spacing w:line="560" w:lineRule="exact"/>
        <w:ind w:firstLine="672" w:firstLineChars="200"/>
        <w:rPr>
          <w:rFonts w:ascii="黑体" w:eastAsia="黑体"/>
          <w:sz w:val="32"/>
          <w:szCs w:val="32"/>
        </w:rPr>
      </w:pPr>
      <w:r>
        <w:rPr>
          <w:rFonts w:hint="eastAsia" w:ascii="黑体" w:eastAsia="黑体"/>
          <w:sz w:val="32"/>
          <w:szCs w:val="32"/>
        </w:rPr>
        <w:t>一、关于原州区医疗保险服务中心2024年财政拨款收支预算情况的总体说明</w:t>
      </w:r>
    </w:p>
    <w:p>
      <w:pPr>
        <w:widowControl/>
        <w:spacing w:line="560" w:lineRule="exact"/>
        <w:ind w:firstLine="480"/>
        <w:rPr>
          <w:rFonts w:ascii="仿宋_GB2312" w:eastAsia="仿宋_GB2312"/>
          <w:sz w:val="32"/>
          <w:szCs w:val="32"/>
        </w:rPr>
      </w:pPr>
      <w:r>
        <w:rPr>
          <w:rFonts w:hint="eastAsia" w:ascii="仿宋_GB2312" w:eastAsia="仿宋_GB2312"/>
          <w:sz w:val="32"/>
          <w:szCs w:val="32"/>
        </w:rPr>
        <w:t>原州区医疗保险服务中心2024年财政拨款收入预算    385.85万元，其中：本年收入385.85万元，包括一般公共预算拨款385.85万元，政府性基金预算拨款 0万元；上年结转结余0万元。财政拨款支出预算385.85万元，包括：一般公共服务支出5.4万元、社会保障和就业支出34.24万元、卫生健康支出311.21万元、住房保障支出34.99万元。......(</w:t>
      </w:r>
      <w:r>
        <w:rPr>
          <w:rFonts w:hint="eastAsia" w:ascii="仿宋_GB2312" w:eastAsia="仿宋_GB2312"/>
          <w:b/>
          <w:bCs/>
          <w:sz w:val="32"/>
          <w:szCs w:val="32"/>
        </w:rPr>
        <w:t>按政府收支分类功能科目逐项说明)</w:t>
      </w:r>
      <w:r>
        <w:rPr>
          <w:rFonts w:hint="eastAsia" w:ascii="仿宋_GB2312" w:eastAsia="仿宋_GB2312"/>
          <w:sz w:val="32"/>
          <w:szCs w:val="32"/>
        </w:rPr>
        <w:t>。</w:t>
      </w:r>
    </w:p>
    <w:p>
      <w:pPr>
        <w:widowControl/>
        <w:spacing w:line="560" w:lineRule="exact"/>
        <w:ind w:firstLine="480"/>
        <w:rPr>
          <w:rFonts w:ascii="黑体" w:eastAsia="黑体"/>
          <w:sz w:val="32"/>
          <w:szCs w:val="32"/>
        </w:rPr>
      </w:pPr>
      <w:r>
        <w:rPr>
          <w:rFonts w:hint="eastAsia" w:ascii="黑体" w:eastAsia="黑体"/>
          <w:sz w:val="32"/>
          <w:szCs w:val="32"/>
        </w:rPr>
        <w:t>二、关于原州区医疗保险服务中心2024年一般公共预算财政拨款支出情况说明</w:t>
      </w:r>
    </w:p>
    <w:p>
      <w:pPr>
        <w:widowControl/>
        <w:spacing w:line="560" w:lineRule="exact"/>
        <w:ind w:firstLine="480"/>
        <w:rPr>
          <w:rFonts w:ascii="楷体_GB2312" w:eastAsia="楷体_GB2312"/>
          <w:b/>
          <w:bCs/>
          <w:sz w:val="32"/>
          <w:szCs w:val="32"/>
        </w:rPr>
      </w:pPr>
      <w:r>
        <w:rPr>
          <w:rFonts w:hint="eastAsia" w:ascii="楷体_GB2312" w:eastAsia="楷体_GB2312"/>
          <w:b/>
          <w:bCs/>
          <w:sz w:val="32"/>
          <w:szCs w:val="32"/>
        </w:rPr>
        <w:t>（一）基本支出情况说明</w:t>
      </w:r>
    </w:p>
    <w:p>
      <w:pPr>
        <w:widowControl/>
        <w:spacing w:line="560" w:lineRule="exact"/>
        <w:ind w:firstLine="480"/>
        <w:rPr>
          <w:rFonts w:ascii="仿宋_GB2312" w:eastAsia="仿宋_GB2312"/>
          <w:sz w:val="32"/>
          <w:szCs w:val="32"/>
        </w:rPr>
      </w:pPr>
      <w:r>
        <w:rPr>
          <w:rFonts w:hint="eastAsia" w:ascii="仿宋_GB2312" w:eastAsia="仿宋_GB2312"/>
          <w:sz w:val="32"/>
          <w:szCs w:val="32"/>
        </w:rPr>
        <w:t>原州区医疗保险服务中心2024年一般公共预算财政拨款基本支出280.85万元，其中：本年收入安排支出280.85万元，上年结转资金安排支出 0万元。比2023年执行数（决算数）增加27.99万元，增长11.07%。</w:t>
      </w:r>
    </w:p>
    <w:p>
      <w:pPr>
        <w:widowControl/>
        <w:spacing w:line="560" w:lineRule="exact"/>
        <w:ind w:firstLine="672" w:firstLineChars="200"/>
      </w:pPr>
      <w:r>
        <w:rPr>
          <w:rFonts w:hint="eastAsia" w:ascii="仿宋_GB2312" w:eastAsia="仿宋_GB2312"/>
          <w:sz w:val="32"/>
          <w:szCs w:val="32"/>
        </w:rPr>
        <w:t>人员经费273.08万元，主要包括：基本工资78.03万元、津贴补贴 49.86万元、奖金43.8万元、社会保障缴费34.24万元、绩效工资31.41万元、其他工资福利支出0万元、离休费12.4万元、退休费0.86万元、生活补助***万元、住房公积金19.91万元、购房补贴15.08万元、其他对个人和家庭的补助支出0.21万元...(</w:t>
      </w:r>
      <w:r>
        <w:rPr>
          <w:rFonts w:hint="eastAsia" w:ascii="仿宋_GB2312" w:eastAsia="仿宋_GB2312"/>
          <w:b/>
          <w:bCs/>
          <w:sz w:val="32"/>
          <w:szCs w:val="32"/>
        </w:rPr>
        <w:t>按部门支出经济分类科目分项说明，没有的删除)。</w:t>
      </w:r>
    </w:p>
    <w:p>
      <w:pPr>
        <w:widowControl/>
        <w:spacing w:line="560" w:lineRule="exact"/>
        <w:ind w:firstLine="480"/>
        <w:rPr>
          <w:rFonts w:ascii="仿宋_GB2312" w:eastAsia="仿宋_GB2312"/>
          <w:sz w:val="32"/>
          <w:szCs w:val="32"/>
        </w:rPr>
      </w:pPr>
      <w:r>
        <w:rPr>
          <w:rFonts w:hint="eastAsia" w:ascii="仿宋_GB2312" w:eastAsia="仿宋_GB2312"/>
          <w:sz w:val="32"/>
          <w:szCs w:val="32"/>
        </w:rPr>
        <w:t>公用经费7.76万元，主要包括：办公费1.2万元、水费0.12万元、邮电费0.5万元、差旅费3万元、劳务费0.4万元、工会经费2.26万元、其他交通费0.28万元。（</w:t>
      </w:r>
      <w:r>
        <w:rPr>
          <w:rFonts w:hint="eastAsia" w:ascii="仿宋_GB2312" w:eastAsia="仿宋_GB2312"/>
          <w:b/>
          <w:bCs/>
          <w:sz w:val="32"/>
          <w:szCs w:val="32"/>
        </w:rPr>
        <w:t>按部门支出经济分类科目分项说明，没有的删除</w:t>
      </w:r>
      <w:r>
        <w:rPr>
          <w:rFonts w:hint="eastAsia" w:ascii="仿宋_GB2312" w:eastAsia="仿宋_GB2312"/>
          <w:sz w:val="32"/>
          <w:szCs w:val="32"/>
        </w:rPr>
        <w:t>）</w:t>
      </w:r>
    </w:p>
    <w:p>
      <w:pPr>
        <w:widowControl/>
        <w:spacing w:line="560" w:lineRule="exact"/>
        <w:ind w:firstLine="480"/>
        <w:rPr>
          <w:rFonts w:ascii="楷体_GB2312" w:eastAsia="楷体_GB2312"/>
          <w:b/>
          <w:bCs/>
          <w:sz w:val="32"/>
          <w:szCs w:val="32"/>
        </w:rPr>
      </w:pPr>
      <w:r>
        <w:rPr>
          <w:rFonts w:hint="eastAsia" w:ascii="楷体_GB2312" w:eastAsia="楷体_GB2312"/>
          <w:b/>
          <w:bCs/>
          <w:sz w:val="32"/>
          <w:szCs w:val="32"/>
        </w:rPr>
        <w:t>（二）项目支出情况说明</w:t>
      </w:r>
    </w:p>
    <w:p>
      <w:pPr>
        <w:widowControl/>
        <w:spacing w:line="560" w:lineRule="exact"/>
        <w:ind w:firstLine="480"/>
        <w:rPr>
          <w:rFonts w:ascii="仿宋_GB2312" w:eastAsia="仿宋_GB2312"/>
          <w:b/>
          <w:bCs/>
          <w:sz w:val="32"/>
          <w:szCs w:val="32"/>
        </w:rPr>
      </w:pPr>
      <w:r>
        <w:rPr>
          <w:rFonts w:hint="eastAsia" w:ascii="仿宋_GB2312" w:eastAsia="仿宋_GB2312"/>
          <w:sz w:val="32"/>
          <w:szCs w:val="32"/>
        </w:rPr>
        <w:t>原州区医疗保险服务中心2024年一般公共预算财政拨款项目支出105万元，其中：本年收入安排支出105万元，上年结转结余资金安排支出0万元。。2024年预算105万元，比2023年执行数（决算数）减少397.04万元，下降79.09%。主要用于</w:t>
      </w:r>
      <w:r>
        <w:rPr>
          <w:rFonts w:ascii="仿宋_GB2312" w:eastAsia="仿宋_GB2312"/>
          <w:sz w:val="32"/>
          <w:szCs w:val="32"/>
        </w:rPr>
        <w:t>2101506-医疗保障经办事务</w:t>
      </w:r>
      <w:r>
        <w:rPr>
          <w:rFonts w:hint="eastAsia" w:ascii="仿宋_GB2312" w:eastAsia="仿宋_GB2312"/>
          <w:sz w:val="32"/>
          <w:szCs w:val="32"/>
        </w:rPr>
        <w:t>-</w:t>
      </w:r>
      <w:r>
        <w:rPr>
          <w:rFonts w:ascii="仿宋_GB2312" w:eastAsia="仿宋_GB2312"/>
          <w:sz w:val="32"/>
          <w:szCs w:val="32"/>
        </w:rPr>
        <w:t>2024年中央财政医疗服务与保障能力提升补助资金（医保综合服务能力提升）</w:t>
      </w:r>
      <w:r>
        <w:rPr>
          <w:rFonts w:hint="eastAsia" w:ascii="仿宋_GB2312" w:eastAsia="仿宋_GB2312"/>
          <w:sz w:val="32"/>
          <w:szCs w:val="32"/>
        </w:rPr>
        <w:t>；</w:t>
      </w:r>
      <w:r>
        <w:rPr>
          <w:rFonts w:ascii="仿宋_GB2312" w:eastAsia="仿宋_GB2312"/>
          <w:sz w:val="32"/>
          <w:szCs w:val="32"/>
        </w:rPr>
        <w:t>2101505-医疗保障政策管理</w:t>
      </w:r>
      <w:r>
        <w:rPr>
          <w:rFonts w:hint="eastAsia" w:ascii="仿宋_GB2312" w:eastAsia="仿宋_GB2312"/>
          <w:sz w:val="32"/>
          <w:szCs w:val="32"/>
        </w:rPr>
        <w:t>-</w:t>
      </w:r>
      <w:r>
        <w:rPr>
          <w:rFonts w:ascii="仿宋_GB2312" w:eastAsia="仿宋_GB2312"/>
          <w:sz w:val="32"/>
          <w:szCs w:val="32"/>
        </w:rPr>
        <w:t>2024年中央财政医疗服务与保障能力提升补助资金（医保基金监管）/</w:t>
      </w:r>
      <w:r>
        <w:rPr>
          <w:rFonts w:hint="eastAsia" w:ascii="仿宋_GB2312" w:eastAsia="仿宋_GB2312"/>
          <w:sz w:val="32"/>
          <w:szCs w:val="32"/>
        </w:rPr>
        <w:t>；</w:t>
      </w:r>
      <w:r>
        <w:rPr>
          <w:rFonts w:ascii="仿宋_GB2312" w:eastAsia="仿宋_GB2312"/>
          <w:sz w:val="32"/>
          <w:szCs w:val="32"/>
        </w:rPr>
        <w:t>2101599-其他医疗保障管理事务支出</w:t>
      </w:r>
      <w:r>
        <w:rPr>
          <w:rFonts w:hint="eastAsia" w:ascii="仿宋_GB2312" w:eastAsia="仿宋_GB2312"/>
          <w:sz w:val="32"/>
          <w:szCs w:val="32"/>
        </w:rPr>
        <w:t>-</w:t>
      </w:r>
      <w:r>
        <w:rPr>
          <w:rFonts w:ascii="仿宋_GB2312" w:eastAsia="仿宋_GB2312"/>
          <w:sz w:val="32"/>
          <w:szCs w:val="32"/>
        </w:rPr>
        <w:t>2024年中央财政医疗服务与保障能力提升补助资金（医疗服务与保障能力提升其他支出）</w:t>
      </w:r>
      <w:r>
        <w:rPr>
          <w:rFonts w:hint="eastAsia" w:ascii="仿宋_GB2312" w:eastAsia="仿宋_GB2312"/>
          <w:sz w:val="32"/>
          <w:szCs w:val="32"/>
        </w:rPr>
        <w:t>；</w:t>
      </w:r>
      <w:r>
        <w:rPr>
          <w:rFonts w:ascii="仿宋_GB2312" w:eastAsia="仿宋_GB2312"/>
          <w:sz w:val="32"/>
          <w:szCs w:val="32"/>
        </w:rPr>
        <w:t>2101599-其他医疗保障管理事务支出</w:t>
      </w:r>
      <w:r>
        <w:rPr>
          <w:rFonts w:hint="eastAsia" w:ascii="仿宋_GB2312" w:eastAsia="仿宋_GB2312"/>
          <w:sz w:val="32"/>
          <w:szCs w:val="32"/>
        </w:rPr>
        <w:t>-</w:t>
      </w:r>
      <w:r>
        <w:rPr>
          <w:rFonts w:ascii="仿宋_GB2312" w:eastAsia="仿宋_GB2312"/>
          <w:sz w:val="32"/>
          <w:szCs w:val="32"/>
        </w:rPr>
        <w:t>2024年中央财政医疗服务与保障能力提升补助资金(医保政策宣传)</w:t>
      </w:r>
      <w:r>
        <w:rPr>
          <w:rFonts w:hint="eastAsia" w:ascii="仿宋_GB2312" w:eastAsia="仿宋_GB2312"/>
          <w:sz w:val="32"/>
          <w:szCs w:val="32"/>
        </w:rPr>
        <w:t>；</w:t>
      </w:r>
      <w:r>
        <w:rPr>
          <w:rFonts w:ascii="仿宋_GB2312" w:eastAsia="仿宋_GB2312"/>
          <w:sz w:val="32"/>
          <w:szCs w:val="32"/>
        </w:rPr>
        <w:t>2101202-财政对城乡居民基本医疗保险基金的补助</w:t>
      </w:r>
      <w:r>
        <w:rPr>
          <w:rFonts w:hint="eastAsia" w:ascii="仿宋_GB2312" w:eastAsia="仿宋_GB2312"/>
          <w:sz w:val="32"/>
          <w:szCs w:val="32"/>
        </w:rPr>
        <w:t>-</w:t>
      </w:r>
      <w:r>
        <w:rPr>
          <w:rFonts w:ascii="仿宋_GB2312" w:eastAsia="仿宋_GB2312"/>
          <w:sz w:val="32"/>
          <w:szCs w:val="32"/>
        </w:rPr>
        <w:t>2024年度城乡居民医疗保险县（区）配套资金</w:t>
      </w:r>
      <w:r>
        <w:rPr>
          <w:rFonts w:hint="eastAsia" w:ascii="仿宋_GB2312" w:eastAsia="仿宋_GB2312"/>
          <w:sz w:val="32"/>
          <w:szCs w:val="32"/>
        </w:rPr>
        <w:t>。</w:t>
      </w:r>
      <w:r>
        <w:rPr>
          <w:rFonts w:hint="eastAsia" w:ascii="仿宋_GB2312" w:eastAsia="仿宋_GB2312"/>
          <w:b/>
          <w:bCs/>
          <w:sz w:val="32"/>
          <w:szCs w:val="32"/>
        </w:rPr>
        <w:t>(必须按功能分类项级科目逐项说明。)</w:t>
      </w:r>
    </w:p>
    <w:p>
      <w:pPr>
        <w:widowControl/>
        <w:numPr>
          <w:ilvl w:val="0"/>
          <w:numId w:val="1"/>
        </w:numPr>
        <w:spacing w:line="560" w:lineRule="exact"/>
        <w:ind w:firstLine="480"/>
        <w:rPr>
          <w:rFonts w:ascii="黑体" w:eastAsia="黑体"/>
          <w:sz w:val="32"/>
          <w:szCs w:val="32"/>
        </w:rPr>
      </w:pPr>
      <w:r>
        <w:rPr>
          <w:rFonts w:hint="eastAsia" w:ascii="黑体" w:eastAsia="黑体"/>
          <w:sz w:val="32"/>
          <w:szCs w:val="32"/>
        </w:rPr>
        <w:t>关于原州区医疗保险服务中心2024年一般公共预算财政拨款“三公”经费预算情况说明</w:t>
      </w:r>
    </w:p>
    <w:p>
      <w:pPr>
        <w:widowControl/>
        <w:spacing w:line="560" w:lineRule="exact"/>
        <w:rPr>
          <w:rFonts w:ascii="仿宋_GB2312" w:eastAsia="仿宋_GB2312"/>
          <w:sz w:val="32"/>
          <w:szCs w:val="32"/>
        </w:rPr>
      </w:pPr>
      <w:r>
        <w:rPr>
          <w:rFonts w:hint="eastAsia" w:ascii="仿宋_GB2312" w:eastAsia="仿宋_GB2312"/>
          <w:sz w:val="32"/>
          <w:szCs w:val="32"/>
        </w:rPr>
        <w:t xml:space="preserve">    原州区医疗保险服务中心2024年“三公”经费财政拨款预算数为    万元，其中：因公出国（境）费     万元，公务用车购置    万元，公务用车运行费    万元，公务接待费    万元。</w:t>
      </w:r>
    </w:p>
    <w:p>
      <w:pPr>
        <w:widowControl/>
        <w:spacing w:line="560" w:lineRule="exact"/>
        <w:ind w:firstLine="480"/>
        <w:rPr>
          <w:rFonts w:ascii="仿宋_GB2312" w:eastAsia="仿宋_GB2312"/>
          <w:sz w:val="32"/>
          <w:szCs w:val="32"/>
        </w:rPr>
      </w:pPr>
      <w:r>
        <w:rPr>
          <w:rFonts w:hint="eastAsia" w:ascii="仿宋_GB2312" w:eastAsia="仿宋_GB2312"/>
          <w:sz w:val="32"/>
          <w:szCs w:val="32"/>
        </w:rPr>
        <w:t xml:space="preserve"> 2024年“三公”经费财政拨款预算比2023年增加（减少）     万元，其中：因公出国（境）费增加（减少）    万元，主要原因……；公务用车购置费增加（减少）     万元，主要原因……；公务用车运行费增加（减少）万元，主要原因……；公务接待费增加（减少）万元，主要原因……。</w:t>
      </w:r>
    </w:p>
    <w:p>
      <w:pPr>
        <w:widowControl/>
        <w:spacing w:line="560" w:lineRule="exact"/>
        <w:ind w:firstLine="480"/>
        <w:rPr>
          <w:rFonts w:ascii="黑体" w:eastAsia="黑体"/>
          <w:sz w:val="32"/>
          <w:szCs w:val="32"/>
        </w:rPr>
      </w:pPr>
      <w:r>
        <w:rPr>
          <w:rFonts w:hint="eastAsia" w:ascii="黑体" w:eastAsia="黑体"/>
          <w:sz w:val="32"/>
          <w:szCs w:val="32"/>
        </w:rPr>
        <w:t>四、关于原州区医疗保险服务中心2024年政府性基金预算拨款情况说明</w:t>
      </w:r>
    </w:p>
    <w:p>
      <w:pPr>
        <w:widowControl/>
        <w:spacing w:line="560" w:lineRule="exact"/>
        <w:ind w:firstLine="480"/>
        <w:rPr>
          <w:rFonts w:ascii="仿宋_GB2312" w:eastAsia="仿宋_GB2312"/>
          <w:b/>
          <w:bCs/>
          <w:sz w:val="32"/>
          <w:szCs w:val="32"/>
        </w:rPr>
      </w:pPr>
      <w:r>
        <w:rPr>
          <w:rFonts w:hint="eastAsia" w:ascii="仿宋_GB2312" w:eastAsia="仿宋_GB2312"/>
          <w:sz w:val="32"/>
          <w:szCs w:val="32"/>
        </w:rPr>
        <w:t xml:space="preserve"> 原州区医疗保险服务中心2024年无政府性基金预算财政拨款收支</w:t>
      </w:r>
      <w:r>
        <w:rPr>
          <w:rFonts w:hint="eastAsia" w:ascii="仿宋_GB2312" w:eastAsia="仿宋_GB2312"/>
          <w:b/>
          <w:bCs/>
          <w:sz w:val="32"/>
          <w:szCs w:val="32"/>
        </w:rPr>
        <w:t>(没有政府性基金预算的单位填写)。</w:t>
      </w:r>
    </w:p>
    <w:p>
      <w:pPr>
        <w:widowControl/>
        <w:spacing w:line="560" w:lineRule="exact"/>
        <w:ind w:firstLine="480"/>
        <w:rPr>
          <w:rFonts w:ascii="仿宋_GB2312" w:eastAsia="仿宋_GB2312"/>
          <w:sz w:val="32"/>
          <w:szCs w:val="32"/>
        </w:rPr>
      </w:pPr>
      <w:r>
        <w:rPr>
          <w:rFonts w:hint="eastAsia" w:ascii="仿宋_GB2312" w:eastAsia="仿宋_GB2312"/>
          <w:sz w:val="32"/>
          <w:szCs w:val="32"/>
        </w:rPr>
        <w:t xml:space="preserve"> 原州区医疗保险服务中心2024年政府性基金预算财政拨款收入    万元，用于        。政府性基金预算财政拨款支出预算     万元(</w:t>
      </w:r>
      <w:r>
        <w:rPr>
          <w:rFonts w:hint="eastAsia" w:ascii="仿宋_GB2312" w:eastAsia="仿宋_GB2312"/>
          <w:b/>
          <w:bCs/>
          <w:sz w:val="32"/>
          <w:szCs w:val="32"/>
        </w:rPr>
        <w:t>按政府收支科目类、款、项，用途分项说明)（有提前下达政府性基金专项的单位如实填写-原州区残联、民政局、教体局、体育中心）</w:t>
      </w:r>
    </w:p>
    <w:p>
      <w:pPr>
        <w:widowControl/>
        <w:spacing w:line="560" w:lineRule="exact"/>
        <w:rPr>
          <w:rFonts w:ascii="黑体" w:eastAsia="黑体"/>
          <w:b/>
          <w:bCs/>
          <w:sz w:val="32"/>
          <w:szCs w:val="32"/>
        </w:rPr>
      </w:pPr>
      <w:r>
        <w:rPr>
          <w:rFonts w:hint="eastAsia" w:ascii="黑体" w:eastAsia="黑体"/>
          <w:b/>
          <w:bCs/>
          <w:sz w:val="32"/>
          <w:szCs w:val="32"/>
        </w:rPr>
        <w:t xml:space="preserve"> </w:t>
      </w:r>
      <w:r>
        <w:rPr>
          <w:rFonts w:hint="eastAsia" w:ascii="黑体" w:eastAsia="黑体"/>
          <w:sz w:val="32"/>
          <w:szCs w:val="32"/>
        </w:rPr>
        <w:t xml:space="preserve">  五、关于原州区医疗保险服务中心2024年收支预算情况的总体说明</w:t>
      </w:r>
    </w:p>
    <w:p>
      <w:pPr>
        <w:widowControl/>
        <w:spacing w:line="560" w:lineRule="exact"/>
        <w:ind w:firstLine="672" w:firstLineChars="200"/>
        <w:rPr>
          <w:rFonts w:ascii="仿宋_GB2312" w:eastAsia="仿宋_GB2312"/>
          <w:sz w:val="32"/>
          <w:szCs w:val="32"/>
        </w:rPr>
      </w:pPr>
      <w:r>
        <w:rPr>
          <w:rFonts w:hint="eastAsia" w:ascii="仿宋_GB2312" w:eastAsia="仿宋_GB2312"/>
          <w:sz w:val="32"/>
          <w:szCs w:val="32"/>
        </w:rPr>
        <w:t>原州区医疗保险服务中心2024年收入总预算385.85万元，其中：本年收入385.85万元，上年结转结余0万元；支出总预算385.85万元，其中：本年支出385.85万元，年末结转结余0万元。</w:t>
      </w:r>
    </w:p>
    <w:p>
      <w:pPr>
        <w:widowControl/>
        <w:spacing w:line="560" w:lineRule="exact"/>
        <w:ind w:firstLine="672" w:firstLineChars="200"/>
        <w:rPr>
          <w:rFonts w:ascii="仿宋_GB2312" w:eastAsia="仿宋_GB2312"/>
          <w:sz w:val="32"/>
          <w:szCs w:val="32"/>
        </w:rPr>
      </w:pPr>
      <w:r>
        <w:rPr>
          <w:rFonts w:hint="eastAsia" w:ascii="仿宋_GB2312" w:eastAsia="仿宋_GB2312"/>
          <w:sz w:val="32"/>
          <w:szCs w:val="32"/>
        </w:rPr>
        <w:t>本年收入包括：财政拨款预算收入385.85万元，占100 %。</w:t>
      </w:r>
    </w:p>
    <w:p>
      <w:pPr>
        <w:widowControl/>
        <w:spacing w:line="560" w:lineRule="exact"/>
        <w:ind w:firstLine="379" w:firstLineChars="113"/>
        <w:rPr>
          <w:rFonts w:ascii="仿宋_GB2312" w:eastAsia="仿宋_GB2312"/>
          <w:sz w:val="32"/>
          <w:szCs w:val="32"/>
        </w:rPr>
      </w:pPr>
      <w:r>
        <w:rPr>
          <w:rFonts w:hint="eastAsia" w:ascii="仿宋_GB2312" w:eastAsia="仿宋_GB2312"/>
          <w:sz w:val="32"/>
          <w:szCs w:val="32"/>
        </w:rPr>
        <w:t xml:space="preserve"> 本年支出包括：行政支出385.85万元，占100 %；事业支出385.85万元，占100%。</w:t>
      </w:r>
    </w:p>
    <w:p>
      <w:pPr>
        <w:widowControl/>
        <w:spacing w:line="560" w:lineRule="exact"/>
        <w:ind w:firstLine="480"/>
        <w:rPr>
          <w:rFonts w:ascii="黑体" w:eastAsia="黑体"/>
          <w:sz w:val="32"/>
          <w:szCs w:val="32"/>
        </w:rPr>
      </w:pPr>
      <w:r>
        <w:rPr>
          <w:rFonts w:hint="eastAsia" w:ascii="黑体" w:eastAsia="黑体"/>
          <w:sz w:val="32"/>
          <w:szCs w:val="32"/>
        </w:rPr>
        <w:t>六、其他重要事项的情况说明</w:t>
      </w:r>
    </w:p>
    <w:p>
      <w:pPr>
        <w:widowControl/>
        <w:spacing w:line="560" w:lineRule="exact"/>
        <w:ind w:firstLine="480"/>
        <w:rPr>
          <w:rFonts w:ascii="仿宋_GB2312" w:eastAsia="仿宋_GB2312"/>
          <w:sz w:val="32"/>
          <w:szCs w:val="32"/>
        </w:rPr>
      </w:pPr>
      <w:r>
        <w:rPr>
          <w:rFonts w:hint="eastAsia" w:ascii="仿宋_GB2312" w:eastAsia="仿宋_GB2312"/>
          <w:b/>
          <w:bCs/>
          <w:sz w:val="32"/>
          <w:szCs w:val="32"/>
        </w:rPr>
        <w:t>（一）机关运行经费</w:t>
      </w:r>
      <w:r>
        <w:rPr>
          <w:rFonts w:hint="eastAsia" w:ascii="仿宋_GB2312" w:eastAsia="仿宋_GB2312"/>
          <w:sz w:val="32"/>
          <w:szCs w:val="32"/>
        </w:rPr>
        <w:t>（行政单位）或</w:t>
      </w:r>
      <w:r>
        <w:rPr>
          <w:rFonts w:hint="eastAsia" w:ascii="仿宋_GB2312" w:eastAsia="仿宋_GB2312"/>
          <w:b/>
          <w:bCs/>
          <w:sz w:val="32"/>
          <w:szCs w:val="32"/>
        </w:rPr>
        <w:t>事业运行经费</w:t>
      </w:r>
      <w:r>
        <w:rPr>
          <w:rFonts w:hint="eastAsia" w:ascii="仿宋_GB2312" w:eastAsia="仿宋_GB2312"/>
          <w:sz w:val="32"/>
          <w:szCs w:val="32"/>
        </w:rPr>
        <w:t>（事业单位）</w:t>
      </w:r>
    </w:p>
    <w:p>
      <w:pPr>
        <w:widowControl/>
        <w:spacing w:line="560" w:lineRule="exact"/>
        <w:ind w:firstLine="480"/>
        <w:rPr>
          <w:rFonts w:ascii="仿宋_GB2312" w:eastAsia="仿宋_GB2312"/>
          <w:b/>
          <w:bCs/>
          <w:sz w:val="32"/>
          <w:szCs w:val="32"/>
        </w:rPr>
      </w:pPr>
      <w:r>
        <w:rPr>
          <w:rFonts w:hint="eastAsia" w:ascii="仿宋_GB2312" w:eastAsia="仿宋_GB2312"/>
          <w:sz w:val="32"/>
          <w:szCs w:val="32"/>
        </w:rPr>
        <w:t xml:space="preserve"> 2024年，原州区医疗保险服务中心事业运行经费财政拨款预算7.76万元，比2023年预算减少0.7万元，下降8.27%。主要原因是：2023年预算其他商品服务支出1万元，2024年预算未有其他商品服务支出。主要包括：办公费1.2万元、水费0.12万元、邮电费0.5万元、差旅费3万元、劳务费0.4万元、工会经费2.26万元、其他交通费0.28万元。</w:t>
      </w:r>
    </w:p>
    <w:p>
      <w:pPr>
        <w:widowControl/>
        <w:spacing w:line="560" w:lineRule="exact"/>
        <w:ind w:firstLine="480"/>
        <w:rPr>
          <w:rFonts w:ascii="仿宋_GB2312" w:eastAsia="仿宋_GB2312"/>
          <w:b/>
          <w:bCs/>
          <w:sz w:val="32"/>
          <w:szCs w:val="32"/>
        </w:rPr>
      </w:pPr>
      <w:r>
        <w:rPr>
          <w:rFonts w:hint="eastAsia" w:ascii="仿宋_GB2312" w:eastAsia="仿宋_GB2312"/>
          <w:b/>
          <w:bCs/>
          <w:sz w:val="32"/>
          <w:szCs w:val="32"/>
        </w:rPr>
        <w:t>（二）政府采购情况</w:t>
      </w:r>
    </w:p>
    <w:p>
      <w:pPr>
        <w:widowControl/>
        <w:spacing w:line="560" w:lineRule="exact"/>
        <w:ind w:firstLine="480"/>
        <w:rPr>
          <w:rFonts w:ascii="仿宋_GB2312" w:eastAsia="仿宋_GB2312"/>
          <w:sz w:val="32"/>
          <w:szCs w:val="32"/>
        </w:rPr>
      </w:pPr>
      <w:r>
        <w:rPr>
          <w:rFonts w:hint="eastAsia" w:ascii="仿宋_GB2312" w:eastAsia="仿宋_GB2312"/>
          <w:sz w:val="32"/>
          <w:szCs w:val="32"/>
        </w:rPr>
        <w:t xml:space="preserve"> 2024年，原州区医疗保险服务中心政府采购预算0.8万元，其中：政府采购货物预算0.8万元，政府采购工程预算0万元，政府采购服务预算0万元。</w:t>
      </w:r>
    </w:p>
    <w:p>
      <w:pPr>
        <w:widowControl/>
        <w:spacing w:line="560" w:lineRule="exact"/>
        <w:ind w:firstLine="480"/>
        <w:rPr>
          <w:rFonts w:ascii="仿宋_GB2312" w:eastAsia="仿宋_GB2312"/>
          <w:b/>
          <w:bCs/>
          <w:sz w:val="32"/>
          <w:szCs w:val="32"/>
        </w:rPr>
      </w:pPr>
      <w:r>
        <w:rPr>
          <w:rFonts w:hint="eastAsia" w:ascii="仿宋_GB2312" w:eastAsia="仿宋_GB2312"/>
          <w:b/>
          <w:bCs/>
          <w:sz w:val="32"/>
          <w:szCs w:val="32"/>
        </w:rPr>
        <w:t>（三）国有资产占用使用情况</w:t>
      </w:r>
    </w:p>
    <w:p>
      <w:pPr>
        <w:widowControl/>
        <w:spacing w:line="560" w:lineRule="exact"/>
        <w:ind w:firstLine="480"/>
        <w:rPr>
          <w:rFonts w:ascii="仿宋_GB2312" w:eastAsia="仿宋_GB2312"/>
          <w:sz w:val="32"/>
          <w:szCs w:val="32"/>
        </w:rPr>
      </w:pPr>
      <w:r>
        <w:rPr>
          <w:rFonts w:hint="eastAsia" w:ascii="仿宋_GB2312" w:eastAsia="仿宋_GB2312"/>
          <w:sz w:val="32"/>
          <w:szCs w:val="32"/>
        </w:rPr>
        <w:t xml:space="preserve"> 截至2023年12月31日，原州区医疗保险服务中心占用使用国有资产总体情况为房屋0平方米，价值0万元；土地0    平方米，价值0万元；车辆0辆，价值0万元；办公家具价值5.42万元；其他资产价值25.68万元。</w:t>
      </w:r>
    </w:p>
    <w:p>
      <w:pPr>
        <w:widowControl/>
        <w:spacing w:line="560" w:lineRule="exact"/>
        <w:ind w:firstLine="480"/>
        <w:rPr>
          <w:rFonts w:ascii="仿宋_GB2312" w:eastAsia="仿宋_GB2312"/>
          <w:sz w:val="32"/>
          <w:szCs w:val="32"/>
        </w:rPr>
      </w:pPr>
      <w:r>
        <w:rPr>
          <w:rFonts w:hint="eastAsia" w:ascii="仿宋_GB2312" w:eastAsia="仿宋_GB2312"/>
          <w:sz w:val="32"/>
          <w:szCs w:val="32"/>
        </w:rPr>
        <w:t xml:space="preserve"> 国有资产分布情况为：本级部门房屋0平方米，价值0万元；土地0平方米，价值0万元；车辆0辆，价值0万元；办公家具价值5.42万元；其他资产价值25.68万元。所属单位房屋0平方米，价值0万元；土地0平方米，价值0万元；车辆0辆，价值0万元；办公家具价值5.42万元；其他资产价值25.68万元</w:t>
      </w:r>
      <w:r>
        <w:rPr>
          <w:rFonts w:hint="eastAsia" w:ascii="仿宋_GB2312" w:eastAsia="仿宋_GB2312"/>
          <w:b/>
          <w:bCs/>
          <w:sz w:val="32"/>
          <w:szCs w:val="32"/>
        </w:rPr>
        <w:t>（单位必须如实填报）</w:t>
      </w:r>
    </w:p>
    <w:p>
      <w:pPr>
        <w:widowControl/>
        <w:spacing w:line="560" w:lineRule="exact"/>
        <w:ind w:firstLine="480"/>
        <w:rPr>
          <w:rFonts w:ascii="仿宋_GB2312" w:eastAsia="仿宋_GB2312"/>
          <w:b/>
          <w:bCs/>
          <w:sz w:val="32"/>
          <w:szCs w:val="32"/>
        </w:rPr>
      </w:pPr>
      <w:r>
        <w:rPr>
          <w:rFonts w:hint="eastAsia" w:ascii="仿宋_GB2312" w:eastAsia="仿宋_GB2312"/>
          <w:b/>
          <w:bCs/>
          <w:sz w:val="32"/>
          <w:szCs w:val="32"/>
        </w:rPr>
        <w:t>（四）预算绩效情况</w:t>
      </w:r>
    </w:p>
    <w:p>
      <w:pPr>
        <w:widowControl/>
        <w:spacing w:line="560" w:lineRule="exact"/>
        <w:ind w:firstLine="480"/>
        <w:rPr>
          <w:rFonts w:ascii="仿宋_GB2312" w:eastAsia="仿宋_GB2312"/>
          <w:sz w:val="32"/>
          <w:szCs w:val="32"/>
        </w:rPr>
      </w:pPr>
      <w:r>
        <w:rPr>
          <w:rFonts w:hint="eastAsia" w:ascii="仿宋_GB2312" w:eastAsia="仿宋_GB2312"/>
          <w:sz w:val="32"/>
          <w:szCs w:val="32"/>
        </w:rPr>
        <w:t>2023年原州区医疗保险服务中心预算绩效开展工作计划</w:t>
      </w:r>
    </w:p>
    <w:p>
      <w:pPr>
        <w:rPr>
          <w:rFonts w:ascii="仿宋_GB2312" w:eastAsia="仿宋_GB2312"/>
          <w:sz w:val="32"/>
          <w:szCs w:val="32"/>
        </w:rPr>
      </w:pPr>
      <w:r>
        <w:rPr>
          <w:rFonts w:hint="eastAsia" w:ascii="仿宋_GB2312" w:eastAsia="仿宋_GB2312"/>
          <w:sz w:val="32"/>
          <w:szCs w:val="32"/>
        </w:rPr>
        <w:t>2023年原州区医疗保险服务中心公开绩效目标的项目概述（项目名称、资金数、绩效目标）：</w:t>
      </w:r>
    </w:p>
    <w:p>
      <w:pPr>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2024年中央财政医疗服务与保障能力提升补助资金(医保政策宣传)</w:t>
      </w:r>
      <w:r>
        <w:rPr>
          <w:rFonts w:hint="eastAsia" w:ascii="仿宋_GB2312" w:eastAsia="仿宋_GB2312"/>
          <w:sz w:val="32"/>
          <w:szCs w:val="32"/>
        </w:rPr>
        <w:t>，资金总数为10万元，绩效目标：围绕全民参保登记、医疗保险缴费、待遇享受等重点工作，以保障范围、缴费标准、待遇享受项目、费用报销比例、参保就医程序、缴费时限等群众关心的问题，将长期宣传与集中宣传有机结合，一是开展城乡居民基本医疗保险参保扩面宣传月活动，在缴费期间采取进村入户宣讲、散发材料、群发微信、手机短信、电子屏公布信息及有线电视发布温馨提示等形式进行宣传，印制宣传彩折页、宣传画、横幅、展板、易拉宝等。二是注重协议医疗机构“床头”宣讲和受益群众“现身说法”宣传，通过多形式、多层次、多渠道的宣传动员，进一步引导了广大居民树立健康风险意识和互助共济意识，在全区形成了“政府重视、干部支持、群众配合”的良好氛围，为推进医疗保障工作营造了浓厚的氛围。城乡居民参保率达到</w:t>
      </w:r>
      <w:r>
        <w:rPr>
          <w:rFonts w:ascii="仿宋_GB2312" w:eastAsia="仿宋_GB2312"/>
          <w:sz w:val="32"/>
          <w:szCs w:val="32"/>
        </w:rPr>
        <w:t>95%以上。</w:t>
      </w:r>
    </w:p>
    <w:p>
      <w:pPr>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2024年中央财政医疗服务与保障能力提升补助资金（医保综合服务能力提升）</w:t>
      </w:r>
      <w:r>
        <w:rPr>
          <w:rFonts w:hint="eastAsia" w:ascii="仿宋_GB2312" w:eastAsia="仿宋_GB2312"/>
          <w:sz w:val="32"/>
          <w:szCs w:val="32"/>
        </w:rPr>
        <w:t>，资金总数为20万元，绩效目标：</w:t>
      </w:r>
      <w:r>
        <w:rPr>
          <w:rFonts w:ascii="仿宋_GB2312" w:eastAsia="仿宋_GB2312"/>
          <w:sz w:val="32"/>
          <w:szCs w:val="32"/>
        </w:rPr>
        <w:t>建设规范化、标准化的医保经办大厅、医保30分钟服务圈建设及加强基金日常监管等，以便建设高效、便捷的医保经办场所、提高基金监管能力及业务经办能力。</w:t>
      </w:r>
    </w:p>
    <w:p>
      <w:pPr>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2024年中央财政医疗服务与保障能力提升补助资金（医保基金监管）</w:t>
      </w:r>
      <w:r>
        <w:rPr>
          <w:rFonts w:hint="eastAsia" w:ascii="仿宋_GB2312" w:eastAsia="仿宋_GB2312"/>
          <w:sz w:val="32"/>
          <w:szCs w:val="32"/>
        </w:rPr>
        <w:t>，资金总数为9万元，绩效目标：</w:t>
      </w:r>
      <w:r>
        <w:rPr>
          <w:rFonts w:ascii="仿宋_GB2312" w:eastAsia="仿宋_GB2312"/>
          <w:sz w:val="32"/>
          <w:szCs w:val="32"/>
        </w:rPr>
        <w:t>根据公立医疗机构医保支付方式改革要求，按照“总额管理、结余留用”原则，推进医疗健康总院“打包付费”试点，由医疗健康总院管理分配，医保部门进行监管，有效节约医保基金，确保基金安全平稳运行”。</w:t>
      </w:r>
    </w:p>
    <w:p>
      <w:pPr>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2024年中央财政医疗服务与保障能力提升补助资金（医疗服务与保障能力提升其他支出）</w:t>
      </w:r>
      <w:r>
        <w:rPr>
          <w:rFonts w:hint="eastAsia" w:ascii="仿宋_GB2312" w:eastAsia="仿宋_GB2312"/>
          <w:sz w:val="32"/>
          <w:szCs w:val="32"/>
        </w:rPr>
        <w:t>，资金总数为16万元，绩效目标：</w:t>
      </w:r>
      <w:r>
        <w:rPr>
          <w:rFonts w:ascii="仿宋_GB2312" w:eastAsia="仿宋_GB2312"/>
          <w:sz w:val="32"/>
          <w:szCs w:val="32"/>
        </w:rPr>
        <w:t>除医保政策宣传、医保综合服务能力提升、医保基金监管外有关医疗服务与保障能力提升支出。</w:t>
      </w:r>
    </w:p>
    <w:p>
      <w:pPr>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2024年度城乡居民医疗保险县（区）配套资金</w:t>
      </w:r>
      <w:r>
        <w:rPr>
          <w:rFonts w:hint="eastAsia" w:ascii="仿宋_GB2312" w:eastAsia="仿宋_GB2312"/>
          <w:sz w:val="32"/>
          <w:szCs w:val="32"/>
        </w:rPr>
        <w:t>，资金总数为50万元，绩效目标：持续深入实施全民参保登记计划，巩固提升“基本医疗有保障”成果，结合常驻人口、户籍人口、就业人口、城镇化率等指标，科学合理确定</w:t>
      </w:r>
      <w:r>
        <w:rPr>
          <w:rFonts w:ascii="仿宋_GB2312" w:eastAsia="仿宋_GB2312"/>
          <w:sz w:val="32"/>
          <w:szCs w:val="32"/>
        </w:rPr>
        <w:t>2024年度城乡居民基本医疗保险参保缴费目标任务数，确保城乡居民基本医疗保险参保率达到95%以上，其中医保政策规定的特殊身份类别人员实现应保尽保。</w:t>
      </w:r>
    </w:p>
    <w:p>
      <w:pPr>
        <w:rPr>
          <w:rFonts w:ascii="仿宋_GB2312" w:eastAsia="仿宋_GB2312"/>
          <w:b/>
          <w:bCs/>
          <w:sz w:val="32"/>
          <w:szCs w:val="32"/>
        </w:rPr>
      </w:pPr>
      <w:r>
        <w:rPr>
          <w:rFonts w:hint="eastAsia" w:ascii="仿宋_GB2312" w:eastAsia="仿宋_GB2312"/>
          <w:b/>
          <w:bCs/>
          <w:sz w:val="32"/>
          <w:szCs w:val="32"/>
        </w:rPr>
        <w:t>（五）其他需说明的事项</w:t>
      </w:r>
    </w:p>
    <w:p>
      <w:pPr>
        <w:widowControl/>
        <w:spacing w:line="560" w:lineRule="exact"/>
        <w:ind w:firstLine="480"/>
        <w:rPr>
          <w:rFonts w:ascii="仿宋_GB2312" w:eastAsia="仿宋_GB2312"/>
          <w:sz w:val="32"/>
          <w:szCs w:val="32"/>
        </w:rPr>
      </w:pPr>
      <w:r>
        <w:rPr>
          <w:rFonts w:hint="eastAsia" w:ascii="仿宋_GB2312" w:eastAsia="仿宋_GB2312"/>
          <w:sz w:val="32"/>
          <w:szCs w:val="32"/>
        </w:rPr>
        <w:t>无</w:t>
      </w:r>
    </w:p>
    <w:p>
      <w:pPr>
        <w:widowControl/>
        <w:spacing w:line="560" w:lineRule="exact"/>
        <w:ind w:firstLine="480"/>
        <w:rPr>
          <w:rFonts w:ascii="仿宋_GB2312" w:eastAsia="仿宋_GB2312"/>
          <w:sz w:val="32"/>
          <w:szCs w:val="32"/>
        </w:rPr>
      </w:pPr>
      <w:r>
        <w:rPr>
          <w:rFonts w:hint="eastAsia" w:ascii="仿宋_GB2312" w:eastAsia="仿宋_GB2312"/>
          <w:sz w:val="32"/>
          <w:szCs w:val="32"/>
        </w:rPr>
        <w:t xml:space="preserve"> </w:t>
      </w:r>
    </w:p>
    <w:p>
      <w:pPr>
        <w:widowControl/>
        <w:spacing w:line="560" w:lineRule="exact"/>
        <w:ind w:firstLine="480"/>
        <w:rPr>
          <w:rFonts w:ascii="仿宋_GB2312" w:eastAsia="仿宋_GB2312"/>
          <w:sz w:val="32"/>
          <w:szCs w:val="32"/>
        </w:rPr>
      </w:pPr>
      <w:r>
        <w:rPr>
          <w:rFonts w:hint="eastAsia" w:ascii="仿宋_GB2312" w:eastAsia="仿宋_GB2312"/>
          <w:sz w:val="32"/>
          <w:szCs w:val="32"/>
        </w:rPr>
        <w:t xml:space="preserve"> </w:t>
      </w:r>
    </w:p>
    <w:p>
      <w:pPr>
        <w:widowControl/>
        <w:spacing w:line="560" w:lineRule="exact"/>
        <w:outlineLvl w:val="1"/>
        <w:rPr>
          <w:rFonts w:ascii="仿宋_GB2312" w:eastAsia="仿宋_GB2312"/>
          <w:b/>
          <w:bCs/>
          <w:sz w:val="36"/>
          <w:szCs w:val="36"/>
        </w:rPr>
      </w:pPr>
    </w:p>
    <w:p>
      <w:pPr>
        <w:widowControl/>
        <w:spacing w:line="560" w:lineRule="exact"/>
        <w:outlineLvl w:val="1"/>
        <w:rPr>
          <w:rFonts w:ascii="仿宋_GB2312" w:eastAsia="仿宋_GB2312"/>
          <w:b/>
          <w:bCs/>
          <w:sz w:val="36"/>
          <w:szCs w:val="36"/>
        </w:rPr>
      </w:pPr>
    </w:p>
    <w:p>
      <w:pPr>
        <w:widowControl/>
        <w:spacing w:line="560" w:lineRule="exact"/>
        <w:outlineLvl w:val="1"/>
        <w:rPr>
          <w:rFonts w:ascii="仿宋_GB2312" w:eastAsia="仿宋_GB2312"/>
          <w:b/>
          <w:bCs/>
          <w:sz w:val="36"/>
          <w:szCs w:val="36"/>
        </w:rPr>
      </w:pPr>
    </w:p>
    <w:p>
      <w:pPr>
        <w:widowControl/>
        <w:spacing w:line="560" w:lineRule="exact"/>
        <w:outlineLvl w:val="1"/>
        <w:rPr>
          <w:rFonts w:ascii="仿宋_GB2312" w:eastAsia="仿宋_GB2312"/>
          <w:b/>
          <w:bCs/>
          <w:sz w:val="36"/>
          <w:szCs w:val="36"/>
        </w:rPr>
      </w:pPr>
    </w:p>
    <w:p>
      <w:pPr>
        <w:widowControl/>
        <w:spacing w:line="560" w:lineRule="exact"/>
        <w:outlineLvl w:val="1"/>
        <w:rPr>
          <w:rFonts w:ascii="仿宋_GB2312" w:eastAsia="仿宋_GB2312"/>
          <w:b/>
          <w:bCs/>
          <w:sz w:val="36"/>
          <w:szCs w:val="36"/>
        </w:rPr>
      </w:pPr>
    </w:p>
    <w:p>
      <w:pPr>
        <w:widowControl/>
        <w:spacing w:line="560" w:lineRule="exact"/>
        <w:outlineLvl w:val="1"/>
        <w:rPr>
          <w:rFonts w:ascii="仿宋_GB2312" w:eastAsia="仿宋_GB2312"/>
          <w:b/>
          <w:bCs/>
          <w:sz w:val="36"/>
          <w:szCs w:val="36"/>
        </w:rPr>
      </w:pPr>
    </w:p>
    <w:p>
      <w:pPr>
        <w:widowControl/>
        <w:spacing w:line="560" w:lineRule="exact"/>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原州区医疗保险服务中心2024年部门预算         ——名词解释</w:t>
      </w:r>
    </w:p>
    <w:p>
      <w:pPr>
        <w:widowControl/>
        <w:spacing w:line="560" w:lineRule="exact"/>
        <w:outlineLvl w:val="1"/>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1、支出功能分类科目编码、名称：按照《2024年政府收支分类科目》“类”、“款”、“项”的编码和名称填列</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2、本年收入：是指单位本年度取得的全部收入。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3、上年结转：是指单位上年结转本年使用的基本支出结转、项目支出结转和结余和经营结余。</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4、本年支出：是指单位本年度全部支出。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5、财政拨款收入：是指单位本年度从本级财政部门取得的财政拨款，包括一般公共预算财政拨款和政府性基金预算财政拨款。</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6、事业收入：是指事业单位开展专业业务活动及其辅助活动取得的收入。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7、经营收入：是指事业单位在专业业务活动及其辅助活动之外开展非独立核算经营活动取得的收入。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8、其他收入：是指单位取得的除“财政拨款收入”、“事业收入”、“经营收入”等以外的各项收入。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9、基本支出：是指单位为保障机构正常运转、完成日常工作任务而发生的各项支出。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10、项目支出：是指单位为完成特定的行政工作任务或事业发展目标，在基本支出之外发生的各项支出。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11、人员经费：是指单位基本支出中用一般公共预算财政拨款安排的“工资福利支出”和“对个人和家庭的补助”。</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12、日常公用支出：是指单位用一般公共预算财政拨款安排的除人员经费以外的基本支出。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三公”经费：纳入财政预决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rPr>
          <w:rFonts w:ascii="仿宋_GB2312" w:eastAsia="仿宋_GB2312"/>
          <w:spacing w:val="0"/>
          <w:sz w:val="32"/>
          <w:szCs w:val="32"/>
        </w:rPr>
      </w:pPr>
      <w:r>
        <w:rPr>
          <w:rFonts w:hint="eastAsia" w:ascii="仿宋_GB2312" w:hAnsi="仿宋_GB2312" w:eastAsia="仿宋_GB2312" w:cs="仿宋_GB2312"/>
          <w:sz w:val="32"/>
          <w:szCs w:val="32"/>
        </w:rPr>
        <w:t xml:space="preserve">   14、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pPr>
    </w:p>
    <w:p/>
    <w:sectPr>
      <w:footerReference r:id="rId4" w:type="default"/>
      <w:footerReference r:id="rId5" w:type="even"/>
      <w:pgSz w:w="11906" w:h="16838"/>
      <w:pgMar w:top="2098" w:right="1474" w:bottom="1984" w:left="1587"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新宋体">
    <w:altName w:val="方正书宋_GBK"/>
    <w:panose1 w:val="02010609030101010101"/>
    <w:charset w:val="86"/>
    <w:family w:val="modern"/>
    <w:pitch w:val="default"/>
    <w:sig w:usb0="00000000" w:usb1="00000000"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- 3 -</w:t>
                          </w:r>
                          <w:r>
                            <w:rPr>
                              <w:sz w:val="30"/>
                              <w:szCs w:val="30"/>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3"/>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- 3 -</w:t>
                    </w:r>
                    <w:r>
                      <w:rPr>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Style w:val="7"/>
                              <w:sz w:val="28"/>
                              <w:szCs w:val="28"/>
                            </w:rPr>
                          </w:pPr>
                          <w:r>
                            <w:rPr>
                              <w:sz w:val="28"/>
                              <w:szCs w:val="28"/>
                            </w:rPr>
                            <w:fldChar w:fldCharType="begin"/>
                          </w:r>
                          <w:r>
                            <w:rPr>
                              <w:rStyle w:val="7"/>
                              <w:rFonts w:ascii="Times New Roman" w:hAnsi="Times New Roman" w:cs="Times New Roman"/>
                              <w:sz w:val="28"/>
                              <w:szCs w:val="28"/>
                            </w:rPr>
                            <w:instrText xml:space="preserve">PAGE  </w:instrText>
                          </w:r>
                          <w:r>
                            <w:rPr>
                              <w:sz w:val="28"/>
                              <w:szCs w:val="28"/>
                            </w:rPr>
                            <w:fldChar w:fldCharType="separate"/>
                          </w:r>
                          <w:r>
                            <w:rPr>
                              <w:rStyle w:val="7"/>
                              <w:rFonts w:ascii="Times New Roman" w:hAnsi="Times New Roman" w:cs="Times New Roman"/>
                              <w:sz w:val="28"/>
                              <w:szCs w:val="28"/>
                            </w:rPr>
                            <w:t>- 23 -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fill on="f" focussize="0,0"/>
              <v:stroke on="f" weight="0.5pt"/>
              <v:imagedata o:title=""/>
              <o:lock v:ext="edit" aspectratio="f"/>
              <v:textbox inset="0mm,0mm,0mm,0mm" style="mso-fit-shape-to-text:t;">
                <w:txbxContent>
                  <w:p>
                    <w:pPr>
                      <w:pStyle w:val="3"/>
                      <w:rPr>
                        <w:rStyle w:val="7"/>
                        <w:sz w:val="28"/>
                        <w:szCs w:val="28"/>
                      </w:rPr>
                    </w:pPr>
                    <w:r>
                      <w:rPr>
                        <w:sz w:val="28"/>
                        <w:szCs w:val="28"/>
                      </w:rPr>
                      <w:fldChar w:fldCharType="begin"/>
                    </w:r>
                    <w:r>
                      <w:rPr>
                        <w:rStyle w:val="7"/>
                        <w:rFonts w:ascii="Times New Roman" w:hAnsi="Times New Roman" w:cs="Times New Roman"/>
                        <w:sz w:val="28"/>
                        <w:szCs w:val="28"/>
                      </w:rPr>
                      <w:instrText xml:space="preserve">PAGE  </w:instrText>
                    </w:r>
                    <w:r>
                      <w:rPr>
                        <w:sz w:val="28"/>
                        <w:szCs w:val="28"/>
                      </w:rPr>
                      <w:fldChar w:fldCharType="separate"/>
                    </w:r>
                    <w:r>
                      <w:rPr>
                        <w:rStyle w:val="7"/>
                        <w:rFonts w:ascii="Times New Roman" w:hAnsi="Times New Roman" w:cs="Times New Roman"/>
                        <w:sz w:val="28"/>
                        <w:szCs w:val="28"/>
                      </w:rPr>
                      <w:t>- 23 -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Fonts w:ascii="Times New Roman" w:hAnsi="Times New Roman" w:cs="Times New Roman"/>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532AD"/>
    <w:multiLevelType w:val="singleLevel"/>
    <w:tmpl w:val="606532AD"/>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D4"/>
    <w:rsid w:val="001C0D56"/>
    <w:rsid w:val="004F4CA3"/>
    <w:rsid w:val="008C34D4"/>
    <w:rsid w:val="009B0290"/>
    <w:rsid w:val="00A76C41"/>
    <w:rsid w:val="5FFB14B0"/>
    <w:rsid w:val="7F6B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spacing w:val="8"/>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pacing w:after="120"/>
    </w:p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正文文本 Char"/>
    <w:basedOn w:val="6"/>
    <w:link w:val="2"/>
    <w:qFormat/>
    <w:uiPriority w:val="0"/>
    <w:rPr>
      <w:rFonts w:ascii="宋体" w:hAnsi="宋体" w:eastAsia="宋体" w:cs="宋体"/>
      <w:spacing w:val="8"/>
      <w:kern w:val="0"/>
      <w:sz w:val="24"/>
      <w:szCs w:val="24"/>
    </w:rPr>
  </w:style>
  <w:style w:type="paragraph" w:customStyle="1" w:styleId="11">
    <w:name w:val="默认段落字体 Para Char"/>
    <w:qFormat/>
    <w:uiPriority w:val="0"/>
    <w:pPr>
      <w:widowControl w:val="0"/>
      <w:adjustRightInd w:val="0"/>
      <w:spacing w:line="360" w:lineRule="auto"/>
      <w:jc w:val="both"/>
    </w:pPr>
    <w:rPr>
      <w:rFonts w:ascii="Times New Roman" w:hAnsi="Times New Roman" w:eastAsia="宋体" w:cs="Times New Roman"/>
      <w:kern w:val="0"/>
      <w:sz w:val="24"/>
      <w:szCs w:val="20"/>
      <w:lang w:val="en-US" w:eastAsia="zh-CN" w:bidi="ar-SA"/>
    </w:rPr>
  </w:style>
  <w:style w:type="paragraph" w:customStyle="1" w:styleId="12">
    <w:name w:val="Char"/>
    <w:basedOn w:val="1"/>
    <w:qFormat/>
    <w:uiPriority w:val="0"/>
    <w:pPr>
      <w:spacing w:line="360" w:lineRule="auto"/>
      <w:ind w:firstLine="200" w:firstLineChars="200"/>
    </w:pPr>
    <w:rPr>
      <w:spacing w:val="0"/>
      <w:kern w:val="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1635</Words>
  <Characters>9325</Characters>
  <Lines>77</Lines>
  <Paragraphs>21</Paragraphs>
  <TotalTime>3</TotalTime>
  <ScaleCrop>false</ScaleCrop>
  <LinksUpToDate>false</LinksUpToDate>
  <CharactersWithSpaces>10939</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2024-02-02T23:21:00Z</dcterms:created>
  <dc:creator>Administrator</dc:creator>
  <cp:lastModifiedBy>guyuan</cp:lastModifiedBy>
  <dcterms:modified xsi:type="dcterms:W3CDTF">2024-02-07T14:39:15Z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