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858" w:tblpY="2644"/>
        <w:tblOverlap w:val="never"/>
        <w:tblW w:w="1518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60"/>
        <w:gridCol w:w="1090"/>
        <w:gridCol w:w="1590"/>
        <w:gridCol w:w="1440"/>
        <w:gridCol w:w="2325"/>
        <w:gridCol w:w="1890"/>
        <w:gridCol w:w="1805"/>
        <w:gridCol w:w="2040"/>
        <w:gridCol w:w="1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65"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160"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案件</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highlight w:val="yellow"/>
                <w:lang w:val="en-US" w:eastAsia="zh-CN"/>
              </w:rPr>
            </w:pPr>
            <w:r>
              <w:rPr>
                <w:rFonts w:hint="eastAsia" w:ascii="宋体" w:hAnsi="宋体" w:eastAsia="宋体" w:cs="宋体"/>
                <w:sz w:val="24"/>
                <w:szCs w:val="24"/>
                <w:lang w:val="en-US" w:eastAsia="zh-CN"/>
              </w:rPr>
              <w:t>名称</w:t>
            </w:r>
          </w:p>
        </w:tc>
        <w:tc>
          <w:tcPr>
            <w:tcW w:w="1090"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违法主体</w:t>
            </w:r>
          </w:p>
          <w:p>
            <w:pPr>
              <w:pStyle w:val="2"/>
              <w:keepNext w:val="0"/>
              <w:keepLines w:val="0"/>
              <w:pageBreakBefore w:val="0"/>
              <w:widowControl w:val="0"/>
              <w:kinsoku/>
              <w:wordWrap/>
              <w:overflowPunct/>
              <w:topLinePunct w:val="0"/>
              <w:autoSpaceDE/>
              <w:autoSpaceDN/>
              <w:bidi w:val="0"/>
              <w:adjustRightInd w:val="0"/>
              <w:snapToGrid w:val="0"/>
              <w:spacing w:line="3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名称或姓名</w:t>
            </w:r>
          </w:p>
        </w:tc>
        <w:tc>
          <w:tcPr>
            <w:tcW w:w="1590"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违法企业组织机构代码</w:t>
            </w:r>
          </w:p>
        </w:tc>
        <w:tc>
          <w:tcPr>
            <w:tcW w:w="1440"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法定代表人</w:t>
            </w:r>
          </w:p>
          <w:p>
            <w:pPr>
              <w:pStyle w:val="2"/>
              <w:keepNext w:val="0"/>
              <w:keepLines w:val="0"/>
              <w:pageBreakBefore w:val="0"/>
              <w:widowControl w:val="0"/>
              <w:kinsoku/>
              <w:wordWrap/>
              <w:overflowPunct/>
              <w:topLinePunct w:val="0"/>
              <w:autoSpaceDE/>
              <w:autoSpaceDN/>
              <w:bidi w:val="0"/>
              <w:adjustRightInd w:val="0"/>
              <w:snapToGrid w:val="0"/>
              <w:spacing w:line="3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（负责人）</w:t>
            </w:r>
          </w:p>
        </w:tc>
        <w:tc>
          <w:tcPr>
            <w:tcW w:w="2325"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违法事实</w:t>
            </w:r>
          </w:p>
        </w:tc>
        <w:tc>
          <w:tcPr>
            <w:tcW w:w="1890"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行政处罚种类和依据</w:t>
            </w:r>
          </w:p>
        </w:tc>
        <w:tc>
          <w:tcPr>
            <w:tcW w:w="1805"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行政处罚履行方式和期限</w:t>
            </w:r>
          </w:p>
        </w:tc>
        <w:tc>
          <w:tcPr>
            <w:tcW w:w="2040"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作出行政处罚的机关名称和日期</w:t>
            </w:r>
          </w:p>
        </w:tc>
        <w:tc>
          <w:tcPr>
            <w:tcW w:w="1080"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765" w:type="dxa"/>
            <w:tcBorders>
              <w:top w:val="single" w:color="auto" w:sz="4" w:space="0"/>
              <w:left w:val="single" w:color="auto" w:sz="8" w:space="0"/>
              <w:right w:val="single" w:color="auto" w:sz="4" w:space="0"/>
            </w:tcBorders>
            <w:noWrap w:val="0"/>
            <w:vAlign w:val="center"/>
          </w:tcPr>
          <w:p>
            <w:pPr>
              <w:spacing w:line="240" w:lineRule="auto"/>
              <w:ind w:firstLine="0" w:firstLineChars="0"/>
              <w:jc w:val="center"/>
              <w:textAlignment w:val="baseline"/>
              <w:rPr>
                <w:rFonts w:hint="eastAsia" w:eastAsia="仿宋_GB2312"/>
                <w:sz w:val="24"/>
                <w:u w:val="single" w:color="000000"/>
                <w:lang w:val="en-US" w:eastAsia="zh-CN"/>
              </w:rPr>
            </w:pPr>
            <w:r>
              <w:rPr>
                <w:rFonts w:hint="eastAsia"/>
                <w:sz w:val="24"/>
                <w:u w:val="none" w:color="auto"/>
                <w:lang w:val="en-US" w:eastAsia="zh-CN"/>
              </w:rPr>
              <w:t>1</w:t>
            </w:r>
          </w:p>
        </w:tc>
        <w:tc>
          <w:tcPr>
            <w:tcW w:w="1160" w:type="dxa"/>
            <w:tcBorders>
              <w:top w:val="single" w:color="auto" w:sz="4" w:space="0"/>
              <w:left w:val="single" w:color="auto" w:sz="4" w:space="0"/>
              <w:right w:val="single" w:color="auto" w:sz="4" w:space="0"/>
            </w:tcBorders>
            <w:noWrap w:val="0"/>
            <w:vAlign w:val="center"/>
          </w:tcPr>
          <w:p>
            <w:pPr>
              <w:spacing w:line="240" w:lineRule="auto"/>
              <w:ind w:firstLine="0" w:firstLineChars="0"/>
              <w:jc w:val="both"/>
              <w:textAlignment w:val="baseline"/>
              <w:rPr>
                <w:rFonts w:hint="default" w:ascii="仿宋_GB2312" w:hAnsi="仿宋_GB2312" w:eastAsia="仿宋_GB2312" w:cs="仿宋_GB2312"/>
                <w:sz w:val="24"/>
                <w:szCs w:val="24"/>
                <w:u w:val="single" w:color="000000"/>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洋未经定点从事畜禽屠宰活动案</w:t>
            </w:r>
          </w:p>
        </w:tc>
        <w:tc>
          <w:tcPr>
            <w:tcW w:w="1090"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textAlignment w:val="baseline"/>
              <w:rPr>
                <w:rFonts w:hint="eastAsia" w:ascii="仿宋_GB2312" w:hAnsi="仿宋_GB2312" w:eastAsia="仿宋_GB2312" w:cs="仿宋_GB2312"/>
                <w:sz w:val="24"/>
                <w:szCs w:val="24"/>
                <w:u w:val="single" w:color="000000"/>
                <w:lang w:val="en-US" w:eastAsia="zh-CN"/>
              </w:rPr>
            </w:pPr>
            <w:r>
              <w:rPr>
                <w:rFonts w:hint="eastAsia" w:ascii="仿宋_GB2312" w:hAnsi="仿宋_GB2312" w:eastAsia="仿宋_GB2312" w:cs="仿宋_GB2312"/>
                <w:i w:val="0"/>
                <w:iCs w:val="0"/>
                <w:caps w:val="0"/>
                <w:color w:val="000000"/>
                <w:spacing w:val="0"/>
                <w:sz w:val="24"/>
                <w:szCs w:val="24"/>
                <w:shd w:val="clear" w:fill="FFFFFF"/>
              </w:rPr>
              <w:t>*</w:t>
            </w:r>
            <w:r>
              <w:rPr>
                <w:rFonts w:hint="eastAsia" w:ascii="仿宋_GB2312" w:hAnsi="仿宋_GB2312" w:cs="仿宋_GB2312"/>
                <w:sz w:val="24"/>
                <w:szCs w:val="24"/>
                <w:u w:val="none" w:color="auto"/>
                <w:lang w:val="en-US" w:eastAsia="zh-CN"/>
              </w:rPr>
              <w:t>洋</w:t>
            </w:r>
          </w:p>
        </w:tc>
        <w:tc>
          <w:tcPr>
            <w:tcW w:w="1590"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textAlignment w:val="baseline"/>
              <w:rPr>
                <w:rFonts w:hint="default" w:ascii="仿宋_GB2312" w:hAnsi="仿宋_GB2312" w:eastAsia="仿宋_GB2312" w:cs="仿宋_GB2312"/>
                <w:sz w:val="24"/>
                <w:szCs w:val="24"/>
                <w:u w:val="single" w:color="000000"/>
                <w:lang w:val="en-US" w:eastAsia="zh-CN"/>
              </w:rPr>
            </w:pPr>
            <w:r>
              <w:rPr>
                <w:rFonts w:hint="eastAsia" w:ascii="仿宋_GB2312" w:hAnsi="仿宋_GB2312" w:cs="仿宋_GB2312"/>
                <w:sz w:val="24"/>
                <w:szCs w:val="24"/>
                <w:u w:val="none" w:color="auto"/>
                <w:lang w:val="en-US" w:eastAsia="zh-CN"/>
              </w:rPr>
              <w:t>/</w:t>
            </w:r>
          </w:p>
        </w:tc>
        <w:tc>
          <w:tcPr>
            <w:tcW w:w="1440" w:type="dxa"/>
            <w:tcBorders>
              <w:top w:val="single" w:color="auto" w:sz="4" w:space="0"/>
              <w:left w:val="single" w:color="auto" w:sz="4" w:space="0"/>
              <w:right w:val="single" w:color="auto" w:sz="4" w:space="0"/>
            </w:tcBorders>
            <w:noWrap w:val="0"/>
            <w:vAlign w:val="center"/>
          </w:tcPr>
          <w:p>
            <w:pPr>
              <w:spacing w:line="240" w:lineRule="auto"/>
              <w:ind w:firstLine="0" w:firstLineChars="0"/>
              <w:jc w:val="center"/>
              <w:textAlignment w:val="baseline"/>
              <w:rPr>
                <w:rFonts w:hint="default" w:ascii="仿宋_GB2312" w:hAnsi="仿宋_GB2312" w:eastAsia="仿宋_GB2312" w:cs="仿宋_GB2312"/>
                <w:sz w:val="24"/>
                <w:szCs w:val="24"/>
                <w:u w:val="single" w:color="000000"/>
                <w:lang w:val="en-US" w:eastAsia="zh-CN"/>
              </w:rPr>
            </w:pPr>
            <w:r>
              <w:rPr>
                <w:rFonts w:hint="eastAsia" w:ascii="仿宋_GB2312" w:hAnsi="仿宋_GB2312" w:eastAsia="仿宋_GB2312" w:cs="仿宋_GB2312"/>
                <w:i w:val="0"/>
                <w:iCs w:val="0"/>
                <w:caps w:val="0"/>
                <w:color w:val="000000"/>
                <w:spacing w:val="0"/>
                <w:sz w:val="24"/>
                <w:szCs w:val="24"/>
                <w:shd w:val="clear" w:fill="FFFFFF"/>
              </w:rPr>
              <w:t>*</w:t>
            </w:r>
            <w:r>
              <w:rPr>
                <w:rFonts w:hint="eastAsia" w:ascii="仿宋_GB2312" w:hAnsi="仿宋_GB2312" w:cs="仿宋_GB2312"/>
                <w:sz w:val="24"/>
                <w:szCs w:val="24"/>
                <w:u w:val="none" w:color="auto"/>
                <w:lang w:val="en-US" w:eastAsia="zh-CN"/>
              </w:rPr>
              <w:t>洋</w:t>
            </w:r>
          </w:p>
        </w:tc>
        <w:tc>
          <w:tcPr>
            <w:tcW w:w="2325" w:type="dxa"/>
            <w:tcBorders>
              <w:top w:val="single" w:color="auto" w:sz="4" w:space="0"/>
              <w:left w:val="single" w:color="auto" w:sz="4" w:space="0"/>
              <w:right w:val="single" w:color="auto" w:sz="8" w:space="0"/>
            </w:tcBorders>
            <w:noWrap w:val="0"/>
            <w:vAlign w:val="top"/>
          </w:tcPr>
          <w:p>
            <w:pPr>
              <w:keepNext w:val="0"/>
              <w:keepLines w:val="0"/>
              <w:pageBreakBefore w:val="0"/>
              <w:kinsoku/>
              <w:wordWrap/>
              <w:overflowPunct/>
              <w:topLinePunct w:val="0"/>
              <w:autoSpaceDE/>
              <w:autoSpaceDN/>
              <w:bidi w:val="0"/>
              <w:adjustRightInd w:val="0"/>
              <w:snapToGrid w:val="0"/>
              <w:spacing w:line="280" w:lineRule="exact"/>
              <w:ind w:firstLine="0" w:firstLineChars="0"/>
              <w:jc w:val="both"/>
              <w:textAlignment w:val="baseline"/>
              <w:rPr>
                <w:rFonts w:hint="default" w:ascii="仿宋_GB2312" w:hAnsi="仿宋_GB2312" w:eastAsia="仿宋_GB2312" w:cs="仿宋_GB2312"/>
                <w:sz w:val="24"/>
                <w:szCs w:val="24"/>
                <w:u w:val="single" w:color="000000"/>
                <w:lang w:val="en-US"/>
              </w:rPr>
            </w:pPr>
            <w:r>
              <w:rPr>
                <w:rFonts w:hint="eastAsia" w:ascii="仿宋_GB2312" w:hAnsi="仿宋_GB2312" w:eastAsia="仿宋_GB2312" w:cs="仿宋_GB2312"/>
                <w:sz w:val="24"/>
                <w:szCs w:val="24"/>
                <w:lang w:val="en-US" w:eastAsia="zh-CN"/>
              </w:rPr>
              <w:t>2023年12月18日上午，原州区农业综合执法人员在开展打击畜禽私屠滥宰违法行为专项整治中，现场发现位于固原市原州区桥头总工会东侧伊光鸡肉店内从事活鸡屠宰活动，现场发现已屠宰好的白条鸡共10只（</w:t>
            </w:r>
            <w:r>
              <w:rPr>
                <w:rFonts w:hint="eastAsia" w:ascii="仿宋_GB2312" w:hAnsi="仿宋_GB2312" w:cs="仿宋_GB2312"/>
                <w:sz w:val="24"/>
                <w:szCs w:val="24"/>
                <w:lang w:val="en-US" w:eastAsia="zh-CN"/>
              </w:rPr>
              <w:t>经</w:t>
            </w:r>
            <w:r>
              <w:rPr>
                <w:rFonts w:hint="eastAsia" w:ascii="仿宋_GB2312" w:hAnsi="仿宋_GB2312" w:eastAsia="仿宋_GB2312" w:cs="仿宋_GB2312"/>
                <w:sz w:val="24"/>
                <w:szCs w:val="24"/>
                <w:lang w:val="en-US" w:eastAsia="zh-CN"/>
              </w:rPr>
              <w:t>现场称重32.9公斤），屠宰刀具2把，当事人提供的动物检疫合格证明与实际数量不符，属于无效的检疫证明。</w:t>
            </w:r>
            <w:r>
              <w:rPr>
                <w:rFonts w:hint="eastAsia" w:ascii="仿宋_GB2312" w:hAnsi="仿宋_GB2312" w:cs="仿宋_GB2312"/>
                <w:sz w:val="24"/>
                <w:szCs w:val="24"/>
                <w:lang w:val="en-US" w:eastAsia="zh-CN"/>
              </w:rPr>
              <w:t>违反了《宁夏回族自治区畜禽屠宰管理条例》第四条规定。</w:t>
            </w:r>
            <w:bookmarkStart w:id="0" w:name="_GoBack"/>
            <w:bookmarkEnd w:id="0"/>
          </w:p>
        </w:tc>
        <w:tc>
          <w:tcPr>
            <w:tcW w:w="1890" w:type="dxa"/>
            <w:tcBorders>
              <w:top w:val="single" w:color="auto" w:sz="4" w:space="0"/>
              <w:left w:val="single" w:color="auto" w:sz="4" w:space="0"/>
              <w:bottom w:val="single" w:color="auto" w:sz="8" w:space="0"/>
              <w:right w:val="single" w:color="auto" w:sz="8" w:space="0"/>
            </w:tcBorders>
            <w:noWrap w:val="0"/>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left="0" w:leftChars="0" w:right="0" w:firstLine="0" w:firstLineChars="0"/>
              <w:jc w:val="left"/>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cs="仿宋_GB2312"/>
                <w:kern w:val="2"/>
                <w:sz w:val="24"/>
                <w:szCs w:val="24"/>
                <w:lang w:val="en-US" w:eastAsia="zh-CN" w:bidi="ar-SA"/>
              </w:rPr>
              <w:t>按照宁夏回族自治区《畜禽屠宰管理条例》</w:t>
            </w:r>
            <w:r>
              <w:rPr>
                <w:rFonts w:hint="eastAsia" w:ascii="仿宋_GB2312" w:hAnsi="仿宋_GB2312" w:eastAsia="仿宋_GB2312" w:cs="仿宋_GB2312"/>
                <w:kern w:val="2"/>
                <w:sz w:val="24"/>
                <w:szCs w:val="24"/>
                <w:lang w:val="en-US" w:eastAsia="zh-CN" w:bidi="ar-SA"/>
              </w:rPr>
              <w:t>第三十</w:t>
            </w:r>
            <w:r>
              <w:rPr>
                <w:rFonts w:hint="eastAsia" w:ascii="仿宋_GB2312" w:hAnsi="仿宋_GB2312" w:cs="仿宋_GB2312"/>
                <w:kern w:val="2"/>
                <w:sz w:val="24"/>
                <w:szCs w:val="24"/>
                <w:lang w:val="en-US" w:eastAsia="zh-CN" w:bidi="ar-SA"/>
              </w:rPr>
              <w:t>七</w:t>
            </w:r>
            <w:r>
              <w:rPr>
                <w:rFonts w:hint="eastAsia" w:ascii="仿宋_GB2312" w:hAnsi="仿宋_GB2312" w:eastAsia="仿宋_GB2312" w:cs="仿宋_GB2312"/>
                <w:kern w:val="2"/>
                <w:sz w:val="24"/>
                <w:szCs w:val="24"/>
                <w:lang w:val="en-US" w:eastAsia="zh-CN" w:bidi="ar-SA"/>
              </w:rPr>
              <w:t>条</w:t>
            </w:r>
            <w:r>
              <w:rPr>
                <w:rFonts w:hint="eastAsia" w:ascii="仿宋_GB2312" w:hAnsi="仿宋_GB2312" w:cs="仿宋_GB2312"/>
                <w:kern w:val="2"/>
                <w:sz w:val="24"/>
                <w:szCs w:val="24"/>
                <w:lang w:val="en-US" w:eastAsia="zh-CN" w:bidi="ar-SA"/>
              </w:rPr>
              <w:t>第一款</w:t>
            </w:r>
            <w:r>
              <w:rPr>
                <w:rFonts w:hint="eastAsia" w:ascii="仿宋_GB2312" w:hAnsi="仿宋_GB2312" w:eastAsia="仿宋_GB2312" w:cs="仿宋_GB2312"/>
                <w:kern w:val="2"/>
                <w:sz w:val="24"/>
                <w:szCs w:val="24"/>
                <w:lang w:val="en-US" w:eastAsia="zh-CN" w:bidi="ar-SA"/>
              </w:rPr>
              <w:t>规定</w:t>
            </w:r>
            <w:r>
              <w:rPr>
                <w:rFonts w:hint="eastAsia" w:ascii="仿宋_GB2312" w:hAnsi="仿宋_GB2312" w:cs="仿宋_GB2312"/>
                <w:kern w:val="2"/>
                <w:sz w:val="24"/>
                <w:szCs w:val="24"/>
                <w:lang w:val="en-US" w:eastAsia="zh-CN" w:bidi="ar-SA"/>
              </w:rPr>
              <w:t>，</w:t>
            </w:r>
            <w:r>
              <w:rPr>
                <w:rFonts w:hint="eastAsia" w:ascii="仿宋_GB2312" w:hAnsi="仿宋_GB2312" w:eastAsia="仿宋_GB2312" w:cs="仿宋_GB2312"/>
                <w:kern w:val="2"/>
                <w:sz w:val="24"/>
                <w:szCs w:val="24"/>
                <w:lang w:val="en-US" w:eastAsia="zh-CN" w:bidi="ar-SA"/>
              </w:rPr>
              <w:t>参照《宁夏回族自治区农业行政处罚自由裁量基准》（宁农规发（2022）1号）为基准，对当事人的行政处罚，能足以起到惩戒作用。本机关责令当事人改正违法行为，并作出以下处罚决定：1.没收私屠滥宰的白条鸡和屠宰刀具；</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both"/>
              <w:textAlignment w:val="baseline"/>
              <w:rPr>
                <w:rFonts w:hint="eastAsia" w:ascii="仿宋_GB2312" w:hAnsi="仿宋_GB2312" w:eastAsia="仿宋_GB2312" w:cs="仿宋_GB2312"/>
                <w:sz w:val="24"/>
                <w:szCs w:val="24"/>
                <w:u w:val="single" w:color="000000"/>
              </w:rPr>
            </w:pPr>
            <w:r>
              <w:rPr>
                <w:rFonts w:hint="eastAsia" w:ascii="仿宋_GB2312" w:hAnsi="仿宋_GB2312" w:eastAsia="仿宋_GB2312" w:cs="仿宋_GB2312"/>
                <w:kern w:val="2"/>
                <w:sz w:val="24"/>
                <w:szCs w:val="24"/>
                <w:lang w:val="en-US" w:eastAsia="zh-CN" w:bidi="ar-SA"/>
              </w:rPr>
              <w:t>2.罚款2368.8元整（按货值总金额789.6元3倍罚款）</w:t>
            </w:r>
          </w:p>
        </w:tc>
        <w:tc>
          <w:tcPr>
            <w:tcW w:w="1805"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当事人</w:t>
            </w:r>
            <w:r>
              <w:rPr>
                <w:rFonts w:hint="eastAsia" w:ascii="仿宋_GB2312" w:hAnsi="仿宋_GB2312" w:eastAsia="仿宋_GB2312" w:cs="仿宋_GB2312"/>
                <w:sz w:val="24"/>
                <w:szCs w:val="24"/>
                <w:lang w:eastAsia="zh-CN"/>
              </w:rPr>
              <w:t>应当</w:t>
            </w:r>
            <w:r>
              <w:rPr>
                <w:rFonts w:hint="eastAsia" w:ascii="仿宋_GB2312" w:hAnsi="仿宋_GB2312" w:eastAsia="仿宋_GB2312" w:cs="仿宋_GB2312"/>
                <w:sz w:val="24"/>
                <w:szCs w:val="24"/>
              </w:rPr>
              <w:t>在收到本处罚决定书之日起15日内持本决定书到</w:t>
            </w:r>
            <w:r>
              <w:rPr>
                <w:rFonts w:hint="eastAsia" w:ascii="仿宋_GB2312" w:hAnsi="仿宋_GB2312" w:eastAsia="仿宋_GB2312" w:cs="仿宋_GB2312"/>
                <w:sz w:val="24"/>
                <w:szCs w:val="24"/>
                <w:lang w:val="en-US" w:eastAsia="zh-CN"/>
              </w:rPr>
              <w:t>中国建设银行</w:t>
            </w:r>
            <w:r>
              <w:rPr>
                <w:rFonts w:hint="eastAsia" w:ascii="仿宋_GB2312" w:hAnsi="仿宋_GB2312" w:cs="仿宋_GB2312"/>
                <w:sz w:val="24"/>
                <w:szCs w:val="24"/>
                <w:lang w:val="en-US" w:eastAsia="zh-CN"/>
              </w:rPr>
              <w:t>股份有限公司</w:t>
            </w:r>
            <w:r>
              <w:rPr>
                <w:rFonts w:hint="eastAsia" w:ascii="仿宋_GB2312" w:hAnsi="仿宋_GB2312" w:eastAsia="仿宋_GB2312" w:cs="仿宋_GB2312"/>
                <w:sz w:val="24"/>
                <w:szCs w:val="24"/>
                <w:lang w:val="en-US" w:eastAsia="zh-CN"/>
              </w:rPr>
              <w:t>固原</w:t>
            </w:r>
            <w:r>
              <w:rPr>
                <w:rFonts w:hint="eastAsia" w:ascii="仿宋_GB2312" w:hAnsi="仿宋_GB2312" w:cs="仿宋_GB2312"/>
                <w:sz w:val="24"/>
                <w:szCs w:val="24"/>
                <w:lang w:val="en-US" w:eastAsia="zh-CN"/>
              </w:rPr>
              <w:t>分</w:t>
            </w:r>
            <w:r>
              <w:rPr>
                <w:rFonts w:hint="eastAsia" w:ascii="仿宋_GB2312" w:hAnsi="仿宋_GB2312" w:eastAsia="仿宋_GB2312" w:cs="仿宋_GB2312"/>
                <w:sz w:val="24"/>
                <w:szCs w:val="24"/>
                <w:lang w:val="en-US" w:eastAsia="zh-CN"/>
              </w:rPr>
              <w:t>行（地址：固原市原州区</w:t>
            </w:r>
            <w:r>
              <w:rPr>
                <w:rFonts w:hint="eastAsia" w:ascii="仿宋_GB2312" w:hAnsi="仿宋_GB2312" w:cs="仿宋_GB2312"/>
                <w:sz w:val="24"/>
                <w:szCs w:val="24"/>
                <w:lang w:val="en-US" w:eastAsia="zh-CN"/>
              </w:rPr>
              <w:t>中山南</w:t>
            </w:r>
            <w:r>
              <w:rPr>
                <w:rFonts w:hint="eastAsia" w:ascii="仿宋_GB2312" w:hAnsi="仿宋_GB2312" w:eastAsia="仿宋_GB2312" w:cs="仿宋_GB2312"/>
                <w:sz w:val="24"/>
                <w:szCs w:val="24"/>
                <w:lang w:val="en-US" w:eastAsia="zh-CN"/>
              </w:rPr>
              <w:t>街</w:t>
            </w:r>
            <w:r>
              <w:rPr>
                <w:rFonts w:hint="eastAsia" w:ascii="仿宋_GB2312" w:hAnsi="仿宋_GB2312" w:cs="仿宋_GB2312"/>
                <w:sz w:val="24"/>
                <w:szCs w:val="24"/>
                <w:lang w:val="en-US" w:eastAsia="zh-CN"/>
              </w:rPr>
              <w:t>,</w:t>
            </w:r>
            <w:r>
              <w:rPr>
                <w:rFonts w:hint="eastAsia" w:ascii="仿宋_GB2312" w:hAnsi="仿宋_GB2312" w:eastAsia="仿宋_GB2312" w:cs="仿宋_GB2312"/>
                <w:sz w:val="24"/>
                <w:szCs w:val="24"/>
                <w:lang w:val="en-US" w:eastAsia="zh-CN"/>
              </w:rPr>
              <w:t>账号：6400160010005001</w:t>
            </w:r>
            <w:r>
              <w:rPr>
                <w:rFonts w:hint="eastAsia" w:ascii="仿宋_GB2312" w:hAnsi="仿宋_GB2312" w:cs="仿宋_GB2312"/>
                <w:sz w:val="24"/>
                <w:szCs w:val="24"/>
                <w:highlight w:val="yellow"/>
                <w:lang w:val="en-US" w:eastAsia="zh-CN"/>
              </w:rPr>
              <w:t>****</w:t>
            </w:r>
            <w:r>
              <w:rPr>
                <w:rFonts w:hint="eastAsia" w:ascii="仿宋_GB2312" w:hAnsi="仿宋_GB2312" w:eastAsia="仿宋_GB2312" w:cs="仿宋_GB2312"/>
                <w:sz w:val="24"/>
                <w:szCs w:val="24"/>
                <w:lang w:val="en-US" w:eastAsia="zh-CN"/>
              </w:rPr>
              <w:t>）</w:t>
            </w:r>
            <w:r>
              <w:rPr>
                <w:rFonts w:hint="eastAsia" w:ascii="仿宋_GB2312" w:hAnsi="仿宋_GB2312" w:cs="仿宋_GB2312"/>
                <w:sz w:val="24"/>
                <w:szCs w:val="24"/>
                <w:lang w:val="en-US" w:eastAsia="zh-CN"/>
              </w:rPr>
              <w:t>或通过微信、手机银行等电子支付系统</w:t>
            </w:r>
            <w:r>
              <w:rPr>
                <w:rFonts w:hint="eastAsia" w:ascii="仿宋_GB2312" w:hAnsi="仿宋_GB2312" w:eastAsia="仿宋_GB2312" w:cs="仿宋_GB2312"/>
                <w:sz w:val="24"/>
                <w:szCs w:val="24"/>
              </w:rPr>
              <w:t>缴纳罚（没）款。逾期不按规定缴纳罚款的，每日按罚款数额的3%加处罚款。</w:t>
            </w:r>
          </w:p>
          <w:p>
            <w:pPr>
              <w:keepNext w:val="0"/>
              <w:keepLines w:val="0"/>
              <w:pageBreakBefore w:val="0"/>
              <w:kinsoku/>
              <w:wordWrap/>
              <w:overflowPunct/>
              <w:topLinePunct w:val="0"/>
              <w:autoSpaceDE/>
              <w:autoSpaceDN/>
              <w:bidi w:val="0"/>
              <w:adjustRightInd w:val="0"/>
              <w:snapToGrid w:val="0"/>
              <w:spacing w:line="280" w:lineRule="exact"/>
              <w:ind w:firstLine="0" w:firstLineChars="0"/>
              <w:jc w:val="center"/>
              <w:textAlignment w:val="baseline"/>
              <w:rPr>
                <w:rFonts w:hint="eastAsia" w:ascii="仿宋_GB2312" w:hAnsi="仿宋_GB2312" w:eastAsia="仿宋_GB2312" w:cs="仿宋_GB2312"/>
                <w:sz w:val="24"/>
                <w:szCs w:val="24"/>
                <w:u w:val="single" w:color="000000"/>
              </w:rPr>
            </w:pPr>
          </w:p>
        </w:tc>
        <w:tc>
          <w:tcPr>
            <w:tcW w:w="2040" w:type="dxa"/>
            <w:tcBorders>
              <w:top w:val="single" w:color="auto" w:sz="4" w:space="0"/>
              <w:left w:val="single" w:color="auto" w:sz="4" w:space="0"/>
              <w:bottom w:val="single" w:color="auto" w:sz="8" w:space="0"/>
              <w:right w:val="single" w:color="auto" w:sz="8" w:space="0"/>
            </w:tcBorders>
            <w:noWrap w:val="0"/>
            <w:vAlign w:val="center"/>
          </w:tcPr>
          <w:p>
            <w:pPr>
              <w:spacing w:line="240" w:lineRule="auto"/>
              <w:ind w:firstLine="0" w:firstLineChars="0"/>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固原市原州区</w:t>
            </w:r>
          </w:p>
          <w:p>
            <w:pPr>
              <w:spacing w:line="240" w:lineRule="auto"/>
              <w:ind w:firstLine="0" w:firstLineChars="0"/>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农业农村局</w:t>
            </w:r>
          </w:p>
          <w:p>
            <w:pPr>
              <w:pStyle w:val="2"/>
              <w:ind w:left="0" w:leftChars="0" w:firstLine="0" w:firstLineChars="0"/>
              <w:rPr>
                <w:rFonts w:hint="eastAsia" w:ascii="仿宋_GB2312" w:hAnsi="仿宋_GB2312" w:eastAsia="仿宋_GB2312" w:cs="仿宋_GB2312"/>
                <w:sz w:val="24"/>
                <w:szCs w:val="24"/>
                <w:lang w:val="en-US"/>
              </w:rPr>
            </w:pPr>
            <w:r>
              <w:rPr>
                <w:rFonts w:hint="eastAsia" w:ascii="仿宋_GB2312" w:hAnsi="仿宋_GB2312" w:cs="仿宋_GB2312"/>
                <w:sz w:val="24"/>
                <w:szCs w:val="24"/>
                <w:lang w:val="en-US" w:eastAsia="zh-CN"/>
              </w:rPr>
              <w:t>2024</w:t>
            </w:r>
            <w:r>
              <w:rPr>
                <w:rFonts w:hint="eastAsia" w:ascii="仿宋_GB2312" w:hAnsi="仿宋_GB2312" w:eastAsia="仿宋_GB2312" w:cs="仿宋_GB2312"/>
                <w:sz w:val="24"/>
                <w:szCs w:val="24"/>
                <w:lang w:val="en-US" w:eastAsia="zh-CN"/>
              </w:rPr>
              <w:t>年</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val="en-US" w:eastAsia="zh-CN"/>
              </w:rPr>
              <w:t>月</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val="en-US" w:eastAsia="zh-CN"/>
              </w:rPr>
              <w:t>日</w:t>
            </w:r>
          </w:p>
        </w:tc>
        <w:tc>
          <w:tcPr>
            <w:tcW w:w="1080" w:type="dxa"/>
            <w:tcBorders>
              <w:top w:val="single" w:color="auto" w:sz="4" w:space="0"/>
              <w:left w:val="single" w:color="auto" w:sz="4" w:space="0"/>
              <w:bottom w:val="single" w:color="auto" w:sz="8" w:space="0"/>
              <w:right w:val="single" w:color="auto" w:sz="8" w:space="0"/>
            </w:tcBorders>
            <w:noWrap w:val="0"/>
            <w:vAlign w:val="center"/>
          </w:tcPr>
          <w:p>
            <w:pPr>
              <w:spacing w:line="240" w:lineRule="auto"/>
              <w:ind w:firstLine="0" w:firstLineChars="0"/>
              <w:jc w:val="center"/>
              <w:textAlignment w:val="baseline"/>
              <w:rPr>
                <w:rFonts w:hint="default"/>
                <w:sz w:val="24"/>
                <w:u w:val="none" w:color="auto"/>
                <w:lang w:val="en-US" w:eastAsia="zh-CN"/>
              </w:rPr>
            </w:pPr>
          </w:p>
          <w:p>
            <w:pPr>
              <w:pStyle w:val="2"/>
              <w:rPr>
                <w:rFonts w:hint="default"/>
                <w:lang w:val="en-US" w:eastAsia="zh-CN"/>
              </w:rPr>
            </w:pPr>
          </w:p>
        </w:tc>
      </w:tr>
    </w:tbl>
    <w:p>
      <w:pPr>
        <w:spacing w:before="144" w:beforeLines="25" w:after="144" w:afterLines="25" w:line="500" w:lineRule="exact"/>
        <w:ind w:firstLine="2880" w:firstLineChars="800"/>
        <w:jc w:val="both"/>
        <w:textAlignment w:val="baseline"/>
        <w:rPr>
          <w:sz w:val="36"/>
          <w:szCs w:val="36"/>
        </w:rPr>
      </w:pPr>
      <w:r>
        <w:rPr>
          <w:rFonts w:hint="eastAsia" w:eastAsia="方正小标宋简体"/>
          <w:sz w:val="36"/>
          <w:szCs w:val="36"/>
          <w:lang w:val="en-US" w:eastAsia="zh-CN"/>
        </w:rPr>
        <w:t>固原市原州区农业农村局农业行政处罚案件信息公开表</w:t>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MmJhZDU1OGNhNTJlZWI1ZjUwYjY0ZWE0Zjg5MDAifQ=="/>
  </w:docVars>
  <w:rsids>
    <w:rsidRoot w:val="35C87137"/>
    <w:rsid w:val="02DC5CB3"/>
    <w:rsid w:val="058A2288"/>
    <w:rsid w:val="07B1672A"/>
    <w:rsid w:val="0F9425B2"/>
    <w:rsid w:val="15AB2497"/>
    <w:rsid w:val="1A7E2606"/>
    <w:rsid w:val="20D67D8D"/>
    <w:rsid w:val="35C87137"/>
    <w:rsid w:val="41A25D3E"/>
    <w:rsid w:val="4A6F0787"/>
    <w:rsid w:val="4E3A10AC"/>
    <w:rsid w:val="4EB76703"/>
    <w:rsid w:val="5C2E5B4C"/>
    <w:rsid w:val="5D6A375C"/>
    <w:rsid w:val="602435A3"/>
    <w:rsid w:val="6C721879"/>
    <w:rsid w:val="7328244E"/>
    <w:rsid w:val="7BB6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79" w:lineRule="atLeast"/>
      <w:ind w:firstLine="200" w:firstLineChars="20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qFormat/>
    <w:uiPriority w:val="9"/>
    <w:pPr>
      <w:outlineLvl w:val="1"/>
    </w:pPr>
    <w:rPr>
      <w:rFonts w:eastAsia="黑体"/>
      <w:bCs/>
      <w:szCs w:val="32"/>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2023-10-01T03:19:00Z</dcterms:created>
  <dc:creator>Administrator</dc:creator>
  <cp:lastModifiedBy>黎明之前朱纯银</cp:lastModifiedBy>
  <dcterms:modified xsi:type="dcterms:W3CDTF">2024-01-04T07:41:46Z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37CC17C4A4B7487A982E61FA412C9010_11</vt:lpwstr>
  </property>
</Properties>
</file>