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858" w:tblpY="2644"/>
        <w:tblOverlap w:val="never"/>
        <w:tblW w:w="1518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160"/>
        <w:gridCol w:w="1090"/>
        <w:gridCol w:w="1590"/>
        <w:gridCol w:w="1160"/>
        <w:gridCol w:w="2355"/>
        <w:gridCol w:w="2140"/>
        <w:gridCol w:w="1805"/>
        <w:gridCol w:w="1770"/>
        <w:gridCol w:w="1350"/>
      </w:tblGrid>
      <w:tr w14:paraId="00271F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65" w:type="dxa"/>
            <w:tcBorders>
              <w:top w:val="single" w:color="auto" w:sz="8" w:space="0"/>
              <w:left w:val="single" w:color="auto" w:sz="8" w:space="0"/>
              <w:bottom w:val="single" w:color="auto" w:sz="4" w:space="0"/>
              <w:right w:val="single" w:color="auto" w:sz="4" w:space="0"/>
            </w:tcBorders>
            <w:noWrap w:val="0"/>
            <w:vAlign w:val="center"/>
          </w:tcPr>
          <w:p w14:paraId="67CFD4BD">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160" w:type="dxa"/>
            <w:tcBorders>
              <w:top w:val="single" w:color="auto" w:sz="8" w:space="0"/>
              <w:left w:val="single" w:color="auto" w:sz="4" w:space="0"/>
              <w:bottom w:val="single" w:color="auto" w:sz="4" w:space="0"/>
              <w:right w:val="single" w:color="auto" w:sz="4" w:space="0"/>
            </w:tcBorders>
            <w:noWrap w:val="0"/>
            <w:vAlign w:val="center"/>
          </w:tcPr>
          <w:p w14:paraId="1F962DBA">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案件</w:t>
            </w:r>
          </w:p>
          <w:p w14:paraId="164D96D4">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highlight w:val="yellow"/>
                <w:lang w:val="en-US" w:eastAsia="zh-CN"/>
              </w:rPr>
            </w:pPr>
            <w:r>
              <w:rPr>
                <w:rFonts w:hint="eastAsia" w:ascii="宋体" w:hAnsi="宋体" w:eastAsia="宋体" w:cs="宋体"/>
                <w:sz w:val="24"/>
                <w:szCs w:val="24"/>
                <w:lang w:val="en-US" w:eastAsia="zh-CN"/>
              </w:rPr>
              <w:t>名称</w:t>
            </w:r>
          </w:p>
        </w:tc>
        <w:tc>
          <w:tcPr>
            <w:tcW w:w="1090" w:type="dxa"/>
            <w:tcBorders>
              <w:top w:val="single" w:color="auto" w:sz="8" w:space="0"/>
              <w:left w:val="single" w:color="auto" w:sz="4" w:space="0"/>
              <w:bottom w:val="single" w:color="auto" w:sz="4" w:space="0"/>
              <w:right w:val="single" w:color="auto" w:sz="4" w:space="0"/>
            </w:tcBorders>
            <w:noWrap w:val="0"/>
            <w:vAlign w:val="center"/>
          </w:tcPr>
          <w:p w14:paraId="46B0AAEA">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违法主体</w:t>
            </w:r>
          </w:p>
          <w:p w14:paraId="48B111DA">
            <w:pPr>
              <w:pStyle w:val="2"/>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名称或姓名</w:t>
            </w:r>
          </w:p>
        </w:tc>
        <w:tc>
          <w:tcPr>
            <w:tcW w:w="1590" w:type="dxa"/>
            <w:tcBorders>
              <w:top w:val="single" w:color="auto" w:sz="8" w:space="0"/>
              <w:left w:val="single" w:color="auto" w:sz="4" w:space="0"/>
              <w:bottom w:val="single" w:color="auto" w:sz="4" w:space="0"/>
              <w:right w:val="single" w:color="auto" w:sz="4" w:space="0"/>
            </w:tcBorders>
            <w:noWrap w:val="0"/>
            <w:vAlign w:val="center"/>
          </w:tcPr>
          <w:p w14:paraId="56BCE567">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违法企业组织机构代码</w:t>
            </w:r>
          </w:p>
        </w:tc>
        <w:tc>
          <w:tcPr>
            <w:tcW w:w="1160" w:type="dxa"/>
            <w:tcBorders>
              <w:top w:val="single" w:color="auto" w:sz="8" w:space="0"/>
              <w:left w:val="single" w:color="auto" w:sz="4" w:space="0"/>
              <w:bottom w:val="single" w:color="auto" w:sz="4" w:space="0"/>
              <w:right w:val="single" w:color="auto" w:sz="4" w:space="0"/>
            </w:tcBorders>
            <w:noWrap w:val="0"/>
            <w:vAlign w:val="center"/>
          </w:tcPr>
          <w:p w14:paraId="385F6D0B">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法定代表人</w:t>
            </w:r>
          </w:p>
          <w:p w14:paraId="5A7623C3">
            <w:pPr>
              <w:pStyle w:val="2"/>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（负责人）</w:t>
            </w:r>
          </w:p>
        </w:tc>
        <w:tc>
          <w:tcPr>
            <w:tcW w:w="2355" w:type="dxa"/>
            <w:tcBorders>
              <w:top w:val="single" w:color="auto" w:sz="8" w:space="0"/>
              <w:left w:val="single" w:color="auto" w:sz="4" w:space="0"/>
              <w:bottom w:val="single" w:color="auto" w:sz="4" w:space="0"/>
              <w:right w:val="single" w:color="auto" w:sz="8" w:space="0"/>
            </w:tcBorders>
            <w:noWrap w:val="0"/>
            <w:vAlign w:val="center"/>
          </w:tcPr>
          <w:p w14:paraId="3450C908">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w:t>
            </w:r>
          </w:p>
          <w:p w14:paraId="23E06174">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违法事实</w:t>
            </w:r>
          </w:p>
        </w:tc>
        <w:tc>
          <w:tcPr>
            <w:tcW w:w="2140" w:type="dxa"/>
            <w:tcBorders>
              <w:top w:val="single" w:color="auto" w:sz="8" w:space="0"/>
              <w:left w:val="single" w:color="auto" w:sz="4" w:space="0"/>
              <w:bottom w:val="single" w:color="auto" w:sz="4" w:space="0"/>
              <w:right w:val="single" w:color="auto" w:sz="8" w:space="0"/>
            </w:tcBorders>
            <w:noWrap w:val="0"/>
            <w:vAlign w:val="center"/>
          </w:tcPr>
          <w:p w14:paraId="500B52E9">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行政处罚种类和依据</w:t>
            </w:r>
          </w:p>
        </w:tc>
        <w:tc>
          <w:tcPr>
            <w:tcW w:w="1805" w:type="dxa"/>
            <w:tcBorders>
              <w:top w:val="single" w:color="auto" w:sz="8" w:space="0"/>
              <w:left w:val="single" w:color="auto" w:sz="4" w:space="0"/>
              <w:bottom w:val="single" w:color="auto" w:sz="4" w:space="0"/>
              <w:right w:val="single" w:color="auto" w:sz="8" w:space="0"/>
            </w:tcBorders>
            <w:noWrap w:val="0"/>
            <w:vAlign w:val="center"/>
          </w:tcPr>
          <w:p w14:paraId="14B81CE5">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行政处罚履行方式和期限</w:t>
            </w:r>
          </w:p>
        </w:tc>
        <w:tc>
          <w:tcPr>
            <w:tcW w:w="1770" w:type="dxa"/>
            <w:tcBorders>
              <w:top w:val="single" w:color="auto" w:sz="8" w:space="0"/>
              <w:left w:val="single" w:color="auto" w:sz="4" w:space="0"/>
              <w:bottom w:val="single" w:color="auto" w:sz="4" w:space="0"/>
              <w:right w:val="single" w:color="auto" w:sz="8" w:space="0"/>
            </w:tcBorders>
            <w:noWrap w:val="0"/>
            <w:vAlign w:val="center"/>
          </w:tcPr>
          <w:p w14:paraId="11FAE01B">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作出行政处罚的机关名称和日期</w:t>
            </w:r>
          </w:p>
        </w:tc>
        <w:tc>
          <w:tcPr>
            <w:tcW w:w="1350" w:type="dxa"/>
            <w:tcBorders>
              <w:top w:val="single" w:color="auto" w:sz="8" w:space="0"/>
              <w:left w:val="single" w:color="auto" w:sz="4" w:space="0"/>
              <w:bottom w:val="single" w:color="auto" w:sz="4" w:space="0"/>
              <w:right w:val="single" w:color="auto" w:sz="8" w:space="0"/>
            </w:tcBorders>
            <w:noWrap w:val="0"/>
            <w:vAlign w:val="center"/>
          </w:tcPr>
          <w:p w14:paraId="4327A6F6">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备注</w:t>
            </w:r>
          </w:p>
        </w:tc>
      </w:tr>
      <w:tr w14:paraId="20F564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765" w:type="dxa"/>
            <w:tcBorders>
              <w:top w:val="single" w:color="auto" w:sz="4" w:space="0"/>
              <w:left w:val="single" w:color="auto" w:sz="8" w:space="0"/>
              <w:right w:val="single" w:color="auto" w:sz="4" w:space="0"/>
            </w:tcBorders>
            <w:noWrap w:val="0"/>
            <w:vAlign w:val="center"/>
          </w:tcPr>
          <w:p w14:paraId="1838300D">
            <w:pPr>
              <w:spacing w:line="240" w:lineRule="auto"/>
              <w:ind w:firstLine="0" w:firstLineChars="0"/>
              <w:jc w:val="center"/>
              <w:textAlignment w:val="baseline"/>
              <w:rPr>
                <w:rFonts w:hint="eastAsia" w:eastAsia="仿宋_GB2312"/>
                <w:sz w:val="24"/>
                <w:u w:val="single" w:color="000000"/>
                <w:lang w:val="en-US" w:eastAsia="zh-CN"/>
              </w:rPr>
            </w:pPr>
            <w:r>
              <w:rPr>
                <w:rFonts w:hint="eastAsia"/>
                <w:sz w:val="24"/>
                <w:u w:val="none" w:color="auto"/>
                <w:lang w:val="en-US" w:eastAsia="zh-CN"/>
              </w:rPr>
              <w:t>1</w:t>
            </w:r>
          </w:p>
        </w:tc>
        <w:tc>
          <w:tcPr>
            <w:tcW w:w="1160" w:type="dxa"/>
            <w:tcBorders>
              <w:top w:val="single" w:color="auto" w:sz="4" w:space="0"/>
              <w:left w:val="single" w:color="auto" w:sz="4" w:space="0"/>
              <w:right w:val="single" w:color="auto" w:sz="4" w:space="0"/>
            </w:tcBorders>
            <w:noWrap w:val="0"/>
            <w:vAlign w:val="center"/>
          </w:tcPr>
          <w:p w14:paraId="3A247334">
            <w:pPr>
              <w:spacing w:line="240" w:lineRule="auto"/>
              <w:ind w:firstLine="0" w:firstLineChars="0"/>
              <w:jc w:val="both"/>
              <w:textAlignment w:val="baseline"/>
              <w:rPr>
                <w:rFonts w:hint="default" w:ascii="仿宋_GB2312" w:hAnsi="仿宋_GB2312" w:eastAsia="仿宋_GB2312" w:cs="仿宋_GB2312"/>
                <w:sz w:val="24"/>
                <w:szCs w:val="24"/>
                <w:u w:val="single" w:color="000000"/>
                <w:lang w:val="en-US" w:eastAsia="zh-CN"/>
              </w:rPr>
            </w:pPr>
            <w:r>
              <w:rPr>
                <w:rFonts w:hint="eastAsia" w:ascii="仿宋_GB2312" w:hAnsi="仿宋_GB2312" w:cs="仿宋_GB2312"/>
                <w:i w:val="0"/>
                <w:iCs w:val="0"/>
                <w:caps w:val="0"/>
                <w:color w:val="000000"/>
                <w:spacing w:val="0"/>
                <w:sz w:val="24"/>
                <w:szCs w:val="24"/>
                <w:shd w:val="clear" w:fill="FFFFFF"/>
                <w:lang w:val="en-US" w:eastAsia="zh-CN"/>
              </w:rPr>
              <w:t>固原市原州区**牲禽经销部涉嫌屠宰经营依法应当检疫而未经检疫的动物及动物产品案</w:t>
            </w:r>
          </w:p>
        </w:tc>
        <w:tc>
          <w:tcPr>
            <w:tcW w:w="1090" w:type="dxa"/>
            <w:tcBorders>
              <w:top w:val="single" w:color="auto" w:sz="4" w:space="0"/>
              <w:left w:val="single" w:color="auto" w:sz="4" w:space="0"/>
              <w:right w:val="single" w:color="auto" w:sz="4" w:space="0"/>
            </w:tcBorders>
            <w:noWrap w:val="0"/>
            <w:vAlign w:val="center"/>
          </w:tcPr>
          <w:p w14:paraId="3401A085">
            <w:pPr>
              <w:spacing w:line="240" w:lineRule="auto"/>
              <w:ind w:firstLine="0" w:firstLineChars="0"/>
              <w:jc w:val="center"/>
              <w:textAlignment w:val="baseline"/>
              <w:rPr>
                <w:rFonts w:hint="default" w:ascii="仿宋_GB2312" w:hAnsi="仿宋_GB2312" w:eastAsia="仿宋_GB2312" w:cs="仿宋_GB2312"/>
                <w:sz w:val="24"/>
                <w:szCs w:val="24"/>
                <w:u w:val="single" w:color="000000"/>
                <w:lang w:val="en-US" w:eastAsia="zh-CN"/>
              </w:rPr>
            </w:pPr>
            <w:bookmarkStart w:id="0" w:name="_GoBack"/>
            <w:r>
              <w:rPr>
                <w:rFonts w:hint="eastAsia" w:ascii="仿宋_GB2312" w:hAnsi="仿宋_GB2312" w:cs="仿宋_GB2312"/>
                <w:sz w:val="24"/>
                <w:szCs w:val="24"/>
                <w:u w:val="none" w:color="auto"/>
                <w:lang w:val="en-US" w:eastAsia="zh-CN"/>
              </w:rPr>
              <w:t>*金鹏</w:t>
            </w:r>
            <w:bookmarkEnd w:id="0"/>
          </w:p>
        </w:tc>
        <w:tc>
          <w:tcPr>
            <w:tcW w:w="1590" w:type="dxa"/>
            <w:tcBorders>
              <w:top w:val="single" w:color="auto" w:sz="4" w:space="0"/>
              <w:left w:val="single" w:color="auto" w:sz="4" w:space="0"/>
              <w:right w:val="single" w:color="auto" w:sz="4" w:space="0"/>
            </w:tcBorders>
            <w:noWrap w:val="0"/>
            <w:vAlign w:val="center"/>
          </w:tcPr>
          <w:p w14:paraId="3C7E9E46">
            <w:pPr>
              <w:spacing w:line="240" w:lineRule="auto"/>
              <w:ind w:firstLine="0" w:firstLineChars="0"/>
              <w:jc w:val="center"/>
              <w:textAlignment w:val="baseline"/>
              <w:rPr>
                <w:rFonts w:hint="default" w:ascii="仿宋_GB2312" w:hAnsi="仿宋_GB2312" w:eastAsia="仿宋_GB2312" w:cs="仿宋_GB2312"/>
                <w:sz w:val="24"/>
                <w:szCs w:val="24"/>
                <w:u w:val="single" w:color="000000"/>
                <w:lang w:val="en-US" w:eastAsia="zh-CN"/>
              </w:rPr>
            </w:pPr>
            <w:r>
              <w:rPr>
                <w:rFonts w:hint="eastAsia" w:ascii="仿宋_GB2312" w:hAnsi="仿宋_GB2312" w:cs="仿宋_GB2312"/>
                <w:sz w:val="24"/>
                <w:szCs w:val="24"/>
                <w:u w:val="none" w:color="auto"/>
                <w:lang w:val="en-US" w:eastAsia="zh-CN"/>
              </w:rPr>
              <w:t>/</w:t>
            </w:r>
          </w:p>
        </w:tc>
        <w:tc>
          <w:tcPr>
            <w:tcW w:w="1160" w:type="dxa"/>
            <w:tcBorders>
              <w:top w:val="single" w:color="auto" w:sz="4" w:space="0"/>
              <w:left w:val="single" w:color="auto" w:sz="4" w:space="0"/>
              <w:right w:val="single" w:color="auto" w:sz="4" w:space="0"/>
            </w:tcBorders>
            <w:noWrap w:val="0"/>
            <w:vAlign w:val="center"/>
          </w:tcPr>
          <w:p w14:paraId="7C04B2E1">
            <w:pPr>
              <w:spacing w:line="240" w:lineRule="auto"/>
              <w:ind w:firstLine="0" w:firstLineChars="0"/>
              <w:jc w:val="center"/>
              <w:textAlignment w:val="baseline"/>
              <w:rPr>
                <w:rFonts w:hint="eastAsia" w:ascii="仿宋_GB2312" w:hAnsi="仿宋_GB2312" w:eastAsia="仿宋_GB2312" w:cs="仿宋_GB2312"/>
                <w:sz w:val="24"/>
                <w:szCs w:val="24"/>
                <w:u w:val="single" w:color="000000"/>
                <w:lang w:val="en-US" w:eastAsia="zh-CN"/>
              </w:rPr>
            </w:pPr>
            <w:r>
              <w:rPr>
                <w:rFonts w:hint="eastAsia" w:ascii="仿宋_GB2312" w:hAnsi="仿宋_GB2312" w:eastAsia="仿宋_GB2312" w:cs="仿宋_GB2312"/>
                <w:i w:val="0"/>
                <w:iCs w:val="0"/>
                <w:caps w:val="0"/>
                <w:color w:val="000000"/>
                <w:spacing w:val="0"/>
                <w:sz w:val="24"/>
                <w:szCs w:val="24"/>
                <w:shd w:val="clear" w:fill="FFFFFF"/>
              </w:rPr>
              <w:t>*</w:t>
            </w:r>
            <w:r>
              <w:rPr>
                <w:rFonts w:hint="eastAsia" w:ascii="仿宋_GB2312" w:hAnsi="仿宋_GB2312" w:cs="仿宋_GB2312"/>
                <w:i w:val="0"/>
                <w:iCs w:val="0"/>
                <w:caps w:val="0"/>
                <w:color w:val="000000"/>
                <w:spacing w:val="0"/>
                <w:sz w:val="24"/>
                <w:szCs w:val="24"/>
                <w:shd w:val="clear" w:fill="FFFFFF"/>
                <w:lang w:val="en-US" w:eastAsia="zh-CN"/>
              </w:rPr>
              <w:t>金鹏</w:t>
            </w:r>
          </w:p>
        </w:tc>
        <w:tc>
          <w:tcPr>
            <w:tcW w:w="2355" w:type="dxa"/>
            <w:tcBorders>
              <w:top w:val="single" w:color="auto" w:sz="4" w:space="0"/>
              <w:left w:val="single" w:color="auto" w:sz="4" w:space="0"/>
              <w:right w:val="single" w:color="auto" w:sz="8" w:space="0"/>
            </w:tcBorders>
            <w:noWrap w:val="0"/>
            <w:vAlign w:val="top"/>
          </w:tcPr>
          <w:p w14:paraId="10A55567">
            <w:pPr>
              <w:keepNext w:val="0"/>
              <w:keepLines w:val="0"/>
              <w:pageBreakBefore w:val="0"/>
              <w:kinsoku/>
              <w:wordWrap/>
              <w:overflowPunct/>
              <w:topLinePunct w:val="0"/>
              <w:autoSpaceDE/>
              <w:autoSpaceDN/>
              <w:bidi w:val="0"/>
              <w:adjustRightInd w:val="0"/>
              <w:snapToGrid w:val="0"/>
              <w:spacing w:line="280" w:lineRule="exact"/>
              <w:ind w:left="0" w:leftChars="0" w:firstLine="0" w:firstLineChars="0"/>
              <w:jc w:val="both"/>
              <w:textAlignment w:val="baseline"/>
              <w:rPr>
                <w:rFonts w:hint="default" w:ascii="仿宋_GB2312" w:hAnsi="仿宋_GB2312" w:eastAsia="仿宋_GB2312" w:cs="仿宋_GB2312"/>
                <w:sz w:val="24"/>
                <w:szCs w:val="24"/>
                <w:u w:val="single" w:color="000000"/>
                <w:lang w:val="en-US"/>
              </w:rPr>
            </w:pPr>
            <w:r>
              <w:rPr>
                <w:rFonts w:hint="eastAsia" w:ascii="仿宋_GB2312" w:hAnsi="仿宋_GB2312" w:eastAsia="仿宋_GB2312" w:cs="仿宋_GB2312"/>
                <w:kern w:val="2"/>
                <w:sz w:val="24"/>
                <w:szCs w:val="24"/>
                <w:lang w:val="en-US" w:eastAsia="zh-CN" w:bidi="ar-SA"/>
              </w:rPr>
              <w:t>2024年12月4日，固原市原州区农业农村局收到固原市公安局原州区分局涉嫌违法线索移交函，移交函称在办理固原市原州区10.09销售伪劣产品案中发现，固原市原州区开城镇和泉村的李金鹏在无任何证照的情况下私自将未经检疫的驴屠宰，销售给餐厅老板，进入餐桌，严重影响人民群众的饮食安全</w:t>
            </w:r>
            <w:r>
              <w:rPr>
                <w:rFonts w:hint="eastAsia" w:ascii="仿宋_GB2312" w:hAnsi="仿宋_GB2312" w:cs="仿宋_GB2312"/>
                <w:kern w:val="2"/>
                <w:sz w:val="24"/>
                <w:szCs w:val="24"/>
                <w:lang w:val="en-US" w:eastAsia="zh-CN" w:bidi="ar-SA"/>
              </w:rPr>
              <w:t>，</w:t>
            </w:r>
            <w:r>
              <w:rPr>
                <w:rFonts w:hint="eastAsia" w:ascii="仿宋" w:hAnsi="仿宋" w:eastAsia="仿宋" w:cs="仿宋"/>
                <w:strike w:val="0"/>
                <w:dstrike w:val="0"/>
                <w:sz w:val="32"/>
                <w:szCs w:val="32"/>
                <w:u w:val="none"/>
                <w:lang w:val="en-US" w:eastAsia="zh-CN"/>
              </w:rPr>
              <w:t>违</w:t>
            </w:r>
            <w:r>
              <w:rPr>
                <w:rFonts w:hint="eastAsia" w:ascii="仿宋_GB2312" w:hAnsi="仿宋_GB2312" w:eastAsia="仿宋_GB2312" w:cs="仿宋_GB2312"/>
                <w:kern w:val="2"/>
                <w:sz w:val="24"/>
                <w:szCs w:val="24"/>
                <w:lang w:val="en-US" w:eastAsia="zh-CN" w:bidi="ar-SA"/>
              </w:rPr>
              <w:t>反了《中华人民共和国动物防疫法》第二十九条第一款第三项规定：</w:t>
            </w:r>
          </w:p>
        </w:tc>
        <w:tc>
          <w:tcPr>
            <w:tcW w:w="2140" w:type="dxa"/>
            <w:tcBorders>
              <w:top w:val="single" w:color="auto" w:sz="4" w:space="0"/>
              <w:left w:val="single" w:color="auto" w:sz="4" w:space="0"/>
              <w:bottom w:val="single" w:color="auto" w:sz="8" w:space="0"/>
              <w:right w:val="single" w:color="auto" w:sz="8" w:space="0"/>
            </w:tcBorders>
            <w:noWrap w:val="0"/>
            <w:vAlign w:val="center"/>
          </w:tcPr>
          <w:p w14:paraId="406CF15E">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0"/>
              <w:jc w:val="left"/>
              <w:textAlignment w:val="baseline"/>
              <w:rPr>
                <w:rFonts w:hint="eastAsia" w:ascii="仿宋_GB2312" w:hAnsi="仿宋_GB2312" w:eastAsia="仿宋_GB2312" w:cs="仿宋_GB2312"/>
                <w:sz w:val="24"/>
                <w:szCs w:val="24"/>
                <w:u w:val="single" w:color="000000"/>
              </w:rPr>
            </w:pPr>
            <w:r>
              <w:rPr>
                <w:rFonts w:hint="eastAsia" w:ascii="仿宋_GB2312" w:hAnsi="仿宋_GB2312" w:eastAsia="仿宋_GB2312" w:cs="仿宋_GB2312"/>
                <w:sz w:val="24"/>
                <w:szCs w:val="24"/>
                <w:lang w:val="en-US" w:eastAsia="zh-CN"/>
              </w:rPr>
              <w:t>依照《中华人民共和国动物防疫法》第九十七条第一款规定：参照《农业农村部规范农业行政处罚自由裁量权》（180号）第十一条第二项和《宁夏回族自治区农业行政处罚自由裁量基准》【十五、动物卫生监督（5）】规定。</w:t>
            </w:r>
          </w:p>
        </w:tc>
        <w:tc>
          <w:tcPr>
            <w:tcW w:w="1805" w:type="dxa"/>
            <w:tcBorders>
              <w:top w:val="single" w:color="auto" w:sz="4" w:space="0"/>
              <w:left w:val="single" w:color="auto" w:sz="4" w:space="0"/>
              <w:bottom w:val="single" w:color="auto" w:sz="8" w:space="0"/>
              <w:right w:val="single" w:color="auto" w:sz="8" w:space="0"/>
            </w:tcBorders>
            <w:noWrap w:val="0"/>
            <w:vAlign w:val="center"/>
          </w:tcPr>
          <w:p w14:paraId="03E1BD2B">
            <w:pPr>
              <w:keepNext w:val="0"/>
              <w:keepLines w:val="0"/>
              <w:pageBreakBefore w:val="0"/>
              <w:widowControl w:val="0"/>
              <w:kinsoku/>
              <w:wordWrap/>
              <w:overflowPunct/>
              <w:topLinePunct w:val="0"/>
              <w:autoSpaceDE/>
              <w:autoSpaceDN/>
              <w:bidi w:val="0"/>
              <w:adjustRightInd w:val="0"/>
              <w:snapToGrid w:val="0"/>
              <w:spacing w:line="28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当事人</w:t>
            </w:r>
            <w:r>
              <w:rPr>
                <w:rFonts w:hint="eastAsia" w:ascii="仿宋_GB2312" w:hAnsi="仿宋_GB2312" w:eastAsia="仿宋_GB2312" w:cs="仿宋_GB2312"/>
                <w:sz w:val="24"/>
                <w:szCs w:val="24"/>
                <w:lang w:eastAsia="zh-CN"/>
              </w:rPr>
              <w:t>应当</w:t>
            </w:r>
            <w:r>
              <w:rPr>
                <w:rFonts w:hint="eastAsia" w:ascii="仿宋_GB2312" w:hAnsi="仿宋_GB2312" w:eastAsia="仿宋_GB2312" w:cs="仿宋_GB2312"/>
                <w:sz w:val="24"/>
                <w:szCs w:val="24"/>
              </w:rPr>
              <w:t>在收到本处罚决定书之日起15日内持本决定书到</w:t>
            </w:r>
            <w:r>
              <w:rPr>
                <w:rFonts w:hint="eastAsia" w:ascii="仿宋_GB2312" w:hAnsi="仿宋_GB2312" w:eastAsia="仿宋_GB2312" w:cs="仿宋_GB2312"/>
                <w:sz w:val="24"/>
                <w:szCs w:val="24"/>
                <w:lang w:val="en-US" w:eastAsia="zh-CN"/>
              </w:rPr>
              <w:t>中国建设银行</w:t>
            </w:r>
            <w:r>
              <w:rPr>
                <w:rFonts w:hint="eastAsia" w:ascii="仿宋_GB2312" w:hAnsi="仿宋_GB2312" w:cs="仿宋_GB2312"/>
                <w:sz w:val="24"/>
                <w:szCs w:val="24"/>
                <w:lang w:val="en-US" w:eastAsia="zh-CN"/>
              </w:rPr>
              <w:t>股份有限公司</w:t>
            </w:r>
            <w:r>
              <w:rPr>
                <w:rFonts w:hint="eastAsia" w:ascii="仿宋_GB2312" w:hAnsi="仿宋_GB2312" w:eastAsia="仿宋_GB2312" w:cs="仿宋_GB2312"/>
                <w:sz w:val="24"/>
                <w:szCs w:val="24"/>
                <w:lang w:val="en-US" w:eastAsia="zh-CN"/>
              </w:rPr>
              <w:t>固原</w:t>
            </w:r>
            <w:r>
              <w:rPr>
                <w:rFonts w:hint="eastAsia" w:ascii="仿宋_GB2312" w:hAnsi="仿宋_GB2312" w:cs="仿宋_GB2312"/>
                <w:sz w:val="24"/>
                <w:szCs w:val="24"/>
                <w:lang w:val="en-US" w:eastAsia="zh-CN"/>
              </w:rPr>
              <w:t>分</w:t>
            </w:r>
            <w:r>
              <w:rPr>
                <w:rFonts w:hint="eastAsia" w:ascii="仿宋_GB2312" w:hAnsi="仿宋_GB2312" w:eastAsia="仿宋_GB2312" w:cs="仿宋_GB2312"/>
                <w:sz w:val="24"/>
                <w:szCs w:val="24"/>
                <w:lang w:val="en-US" w:eastAsia="zh-CN"/>
              </w:rPr>
              <w:t>行（地址：固原市原州区</w:t>
            </w:r>
            <w:r>
              <w:rPr>
                <w:rFonts w:hint="eastAsia" w:ascii="仿宋_GB2312" w:hAnsi="仿宋_GB2312" w:cs="仿宋_GB2312"/>
                <w:sz w:val="24"/>
                <w:szCs w:val="24"/>
                <w:lang w:val="en-US" w:eastAsia="zh-CN"/>
              </w:rPr>
              <w:t>中山南</w:t>
            </w:r>
            <w:r>
              <w:rPr>
                <w:rFonts w:hint="eastAsia" w:ascii="仿宋_GB2312" w:hAnsi="仿宋_GB2312" w:eastAsia="仿宋_GB2312" w:cs="仿宋_GB2312"/>
                <w:sz w:val="24"/>
                <w:szCs w:val="24"/>
                <w:lang w:val="en-US" w:eastAsia="zh-CN"/>
              </w:rPr>
              <w:t>街</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账号：6400160010005001</w:t>
            </w:r>
            <w:r>
              <w:rPr>
                <w:rFonts w:hint="eastAsia" w:ascii="仿宋_GB2312" w:hAnsi="仿宋_GB2312" w:cs="仿宋_GB2312"/>
                <w:sz w:val="24"/>
                <w:szCs w:val="24"/>
                <w:highlight w:val="yellow"/>
                <w:lang w:val="en-US" w:eastAsia="zh-CN"/>
              </w:rPr>
              <w:t>****</w:t>
            </w:r>
            <w:r>
              <w:rPr>
                <w:rFonts w:hint="eastAsia" w:ascii="仿宋_GB2312" w:hAnsi="仿宋_GB2312" w:eastAsia="仿宋_GB2312" w:cs="仿宋_GB2312"/>
                <w:sz w:val="24"/>
                <w:szCs w:val="24"/>
                <w:lang w:val="en-US" w:eastAsia="zh-CN"/>
              </w:rPr>
              <w:t>）</w:t>
            </w:r>
            <w:r>
              <w:rPr>
                <w:rFonts w:hint="eastAsia" w:ascii="仿宋_GB2312" w:hAnsi="仿宋_GB2312" w:cs="仿宋_GB2312"/>
                <w:sz w:val="24"/>
                <w:szCs w:val="24"/>
                <w:lang w:val="en-US" w:eastAsia="zh-CN"/>
              </w:rPr>
              <w:t>或通过微信、手机银行等电子支付系统</w:t>
            </w:r>
            <w:r>
              <w:rPr>
                <w:rFonts w:hint="eastAsia" w:ascii="仿宋_GB2312" w:hAnsi="仿宋_GB2312" w:eastAsia="仿宋_GB2312" w:cs="仿宋_GB2312"/>
                <w:sz w:val="24"/>
                <w:szCs w:val="24"/>
              </w:rPr>
              <w:t>缴纳罚（没）款。逾期不按规定缴纳罚款的，每日按罚款数额的3%加处罚款。</w:t>
            </w:r>
          </w:p>
          <w:p w14:paraId="5CA26994">
            <w:pPr>
              <w:keepNext w:val="0"/>
              <w:keepLines w:val="0"/>
              <w:pageBreakBefore w:val="0"/>
              <w:kinsoku/>
              <w:wordWrap/>
              <w:overflowPunct/>
              <w:topLinePunct w:val="0"/>
              <w:autoSpaceDE/>
              <w:autoSpaceDN/>
              <w:bidi w:val="0"/>
              <w:adjustRightInd w:val="0"/>
              <w:snapToGrid w:val="0"/>
              <w:spacing w:line="280" w:lineRule="exact"/>
              <w:ind w:firstLine="0" w:firstLineChars="0"/>
              <w:jc w:val="center"/>
              <w:textAlignment w:val="baseline"/>
              <w:rPr>
                <w:rFonts w:hint="eastAsia" w:ascii="仿宋_GB2312" w:hAnsi="仿宋_GB2312" w:eastAsia="仿宋_GB2312" w:cs="仿宋_GB2312"/>
                <w:sz w:val="24"/>
                <w:szCs w:val="24"/>
                <w:u w:val="single" w:color="000000"/>
              </w:rPr>
            </w:pPr>
          </w:p>
        </w:tc>
        <w:tc>
          <w:tcPr>
            <w:tcW w:w="1770" w:type="dxa"/>
            <w:tcBorders>
              <w:top w:val="single" w:color="auto" w:sz="4" w:space="0"/>
              <w:left w:val="single" w:color="auto" w:sz="4" w:space="0"/>
              <w:bottom w:val="single" w:color="auto" w:sz="8" w:space="0"/>
              <w:right w:val="single" w:color="auto" w:sz="8" w:space="0"/>
            </w:tcBorders>
            <w:noWrap w:val="0"/>
            <w:vAlign w:val="center"/>
          </w:tcPr>
          <w:p w14:paraId="18E38E4C">
            <w:pPr>
              <w:spacing w:line="240" w:lineRule="auto"/>
              <w:ind w:firstLine="0" w:firstLineChars="0"/>
              <w:jc w:val="center"/>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固原市原州区</w:t>
            </w:r>
          </w:p>
          <w:p w14:paraId="1453E1B3">
            <w:pPr>
              <w:spacing w:line="240" w:lineRule="auto"/>
              <w:ind w:firstLine="0" w:firstLineChars="0"/>
              <w:jc w:val="center"/>
              <w:textAlignment w:val="baseline"/>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农业农村局</w:t>
            </w:r>
            <w:r>
              <w:rPr>
                <w:rFonts w:hint="eastAsia" w:ascii="仿宋_GB2312" w:hAnsi="仿宋_GB2312" w:cs="仿宋_GB2312"/>
                <w:sz w:val="24"/>
                <w:szCs w:val="24"/>
                <w:lang w:val="en-US" w:eastAsia="zh-CN"/>
              </w:rPr>
              <w:t xml:space="preserve">  2024</w:t>
            </w:r>
            <w:r>
              <w:rPr>
                <w:rFonts w:hint="eastAsia" w:ascii="仿宋_GB2312" w:hAnsi="仿宋_GB2312" w:eastAsia="仿宋_GB2312" w:cs="仿宋_GB2312"/>
                <w:sz w:val="24"/>
                <w:szCs w:val="24"/>
                <w:lang w:val="en-US" w:eastAsia="zh-CN"/>
              </w:rPr>
              <w:t>年</w:t>
            </w:r>
            <w:r>
              <w:rPr>
                <w:rFonts w:hint="eastAsia" w:ascii="仿宋_GB2312" w:hAnsi="仿宋_GB2312" w:cs="仿宋_GB2312"/>
                <w:sz w:val="24"/>
                <w:szCs w:val="24"/>
                <w:lang w:val="en-US" w:eastAsia="zh-CN"/>
              </w:rPr>
              <w:t>12</w:t>
            </w:r>
            <w:r>
              <w:rPr>
                <w:rFonts w:hint="eastAsia" w:ascii="仿宋_GB2312" w:hAnsi="仿宋_GB2312" w:eastAsia="仿宋_GB2312" w:cs="仿宋_GB2312"/>
                <w:sz w:val="24"/>
                <w:szCs w:val="24"/>
                <w:lang w:val="en-US" w:eastAsia="zh-CN"/>
              </w:rPr>
              <w:t>月</w:t>
            </w:r>
            <w:r>
              <w:rPr>
                <w:rFonts w:hint="eastAsia" w:ascii="仿宋_GB2312" w:hAnsi="仿宋_GB2312" w:cs="仿宋_GB2312"/>
                <w:sz w:val="24"/>
                <w:szCs w:val="24"/>
                <w:lang w:val="en-US" w:eastAsia="zh-CN"/>
              </w:rPr>
              <w:t>31</w:t>
            </w:r>
            <w:r>
              <w:rPr>
                <w:rFonts w:hint="eastAsia" w:ascii="仿宋_GB2312" w:hAnsi="仿宋_GB2312" w:eastAsia="仿宋_GB2312" w:cs="仿宋_GB2312"/>
                <w:sz w:val="24"/>
                <w:szCs w:val="24"/>
                <w:lang w:val="en-US" w:eastAsia="zh-CN"/>
              </w:rPr>
              <w:t>日</w:t>
            </w:r>
          </w:p>
        </w:tc>
        <w:tc>
          <w:tcPr>
            <w:tcW w:w="1350" w:type="dxa"/>
            <w:tcBorders>
              <w:top w:val="single" w:color="auto" w:sz="4" w:space="0"/>
              <w:left w:val="single" w:color="auto" w:sz="4" w:space="0"/>
              <w:bottom w:val="single" w:color="auto" w:sz="8" w:space="0"/>
              <w:right w:val="single" w:color="auto" w:sz="8" w:space="0"/>
            </w:tcBorders>
            <w:noWrap w:val="0"/>
            <w:vAlign w:val="center"/>
          </w:tcPr>
          <w:p w14:paraId="363F3C68">
            <w:pPr>
              <w:spacing w:line="240" w:lineRule="auto"/>
              <w:ind w:firstLine="0" w:firstLineChars="0"/>
              <w:jc w:val="center"/>
              <w:textAlignment w:val="baseline"/>
              <w:rPr>
                <w:rFonts w:hint="default"/>
                <w:sz w:val="24"/>
                <w:u w:val="none" w:color="auto"/>
                <w:lang w:val="en-US" w:eastAsia="zh-CN"/>
              </w:rPr>
            </w:pPr>
          </w:p>
          <w:p w14:paraId="0DB0DFA6">
            <w:pPr>
              <w:pStyle w:val="2"/>
              <w:rPr>
                <w:rFonts w:hint="default"/>
                <w:lang w:val="en-US" w:eastAsia="zh-CN"/>
              </w:rPr>
            </w:pPr>
          </w:p>
        </w:tc>
      </w:tr>
    </w:tbl>
    <w:p w14:paraId="05FF569F">
      <w:pPr>
        <w:spacing w:before="144" w:beforeLines="25" w:after="144" w:afterLines="25" w:line="500" w:lineRule="exact"/>
        <w:ind w:firstLine="2880" w:firstLineChars="800"/>
        <w:jc w:val="both"/>
        <w:textAlignment w:val="baseline"/>
        <w:rPr>
          <w:sz w:val="36"/>
          <w:szCs w:val="36"/>
        </w:rPr>
      </w:pPr>
      <w:r>
        <w:rPr>
          <w:rFonts w:hint="eastAsia" w:eastAsia="方正小标宋简体"/>
          <w:sz w:val="36"/>
          <w:szCs w:val="36"/>
          <w:lang w:val="en-US" w:eastAsia="zh-CN"/>
        </w:rPr>
        <w:t>固原市原州区农业农村局农业行政处罚案件信息公开表</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YzI0OWMwZWFiNGQ5NmU2ZDE2OTZmYTA5YTkwNjMifQ=="/>
  </w:docVars>
  <w:rsids>
    <w:rsidRoot w:val="35C87137"/>
    <w:rsid w:val="01B6221C"/>
    <w:rsid w:val="02DC5CB3"/>
    <w:rsid w:val="058A2288"/>
    <w:rsid w:val="07B1672A"/>
    <w:rsid w:val="0F9425B2"/>
    <w:rsid w:val="15AB2497"/>
    <w:rsid w:val="1A7E2606"/>
    <w:rsid w:val="20D67D8D"/>
    <w:rsid w:val="2E345581"/>
    <w:rsid w:val="33C35512"/>
    <w:rsid w:val="35C87137"/>
    <w:rsid w:val="41A25D3E"/>
    <w:rsid w:val="4A6F0787"/>
    <w:rsid w:val="4E3A10AC"/>
    <w:rsid w:val="4EB76703"/>
    <w:rsid w:val="5C2E5B4C"/>
    <w:rsid w:val="5D6A375C"/>
    <w:rsid w:val="602435A3"/>
    <w:rsid w:val="6C721879"/>
    <w:rsid w:val="70235644"/>
    <w:rsid w:val="7328244E"/>
    <w:rsid w:val="75F223AC"/>
    <w:rsid w:val="7BB60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uiPriority w:val="9"/>
    <w:pPr>
      <w:outlineLvl w:val="1"/>
    </w:pPr>
    <w:rPr>
      <w:rFonts w:eastAsia="黑体"/>
      <w:bCs/>
      <w:szCs w:val="32"/>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538</Words>
  <Characters>575</Characters>
  <Lines>0</Lines>
  <Paragraphs>0</Paragraphs>
  <TotalTime>3</TotalTime>
  <ScaleCrop>false</ScaleCrop>
  <LinksUpToDate>false</LinksUpToDate>
  <CharactersWithSpaces>577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2023-10-01T03:19:00Z</dcterms:created>
  <dc:creator>Administrator</dc:creator>
  <cp:lastModifiedBy>黎明之前朱纯银</cp:lastModifiedBy>
  <dcterms:modified xsi:type="dcterms:W3CDTF">2025-01-08T01:04:17Z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37CC17C4A4B7487A982E61FA412C9010_11</vt:lpwstr>
  </property>
  <property fmtid="{D5CDD505-2E9C-101B-9397-08002B2CF9AE}" pid="4" name="KSOTemplateDocerSaveRecord">
    <vt:lpwstr>eyJoZGlkIjoiMzFjMmJhZDU1OGNhNTJlZWI1ZjUwYjY0ZWE0Zjg5MDAiLCJ1c2VySWQiOiI0NDI3NDA0MDcifQ==</vt:lpwstr>
  </property>
</Properties>
</file>